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50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高等学校实验室安全检查项目表（202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年）</w:t>
      </w:r>
      <w:bookmarkStart w:id="0" w:name="_GoBack"/>
      <w:bookmarkEnd w:id="0"/>
    </w:p>
    <w:p>
      <w:pPr>
        <w:adjustRightInd w:val="0"/>
        <w:snapToGrid w:val="0"/>
        <w:spacing w:after="156" w:afterLines="50" w:line="500" w:lineRule="exact"/>
        <w:jc w:val="center"/>
        <w:rPr>
          <w:rFonts w:eastAsia="黑体"/>
          <w:b/>
          <w:color w:val="000000" w:themeColor="text1"/>
          <w:sz w:val="36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18"/>
        <w:tblW w:w="14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820"/>
        <w:gridCol w:w="7660"/>
        <w:gridCol w:w="2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tblHeader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ascii="黑体" w:hAnsi="黑体" w:eastAsia="黑体"/>
                <w:b/>
                <w:bCs/>
                <w:kern w:val="0"/>
                <w:szCs w:val="21"/>
              </w:rPr>
            </w:pPr>
            <w:r>
              <w:rPr>
                <w:rFonts w:ascii="黑体" w:hAnsi="黑体" w:eastAsia="黑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ascii="黑体" w:hAnsi="黑体" w:eastAsia="黑体"/>
                <w:b/>
                <w:bCs/>
                <w:kern w:val="0"/>
                <w:szCs w:val="21"/>
              </w:rPr>
            </w:pPr>
            <w:r>
              <w:rPr>
                <w:rFonts w:ascii="黑体" w:hAnsi="黑体" w:eastAsia="黑体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ascii="黑体" w:hAnsi="黑体" w:eastAsia="黑体"/>
                <w:b/>
                <w:bCs/>
                <w:kern w:val="0"/>
                <w:szCs w:val="21"/>
              </w:rPr>
            </w:pPr>
            <w:r>
              <w:rPr>
                <w:rFonts w:ascii="黑体" w:hAnsi="黑体" w:eastAsia="黑体"/>
                <w:b/>
                <w:bCs/>
                <w:kern w:val="0"/>
                <w:szCs w:val="21"/>
              </w:rPr>
              <w:t>检查要点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ascii="黑体" w:hAnsi="黑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责任部门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1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责任体系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1.1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学校层面安全责任体系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1.1.1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有校级实验室安全工作</w:t>
            </w:r>
            <w:r>
              <w:rPr>
                <w:rFonts w:hint="eastAsia" w:eastAsia="仿宋"/>
                <w:kern w:val="0"/>
                <w:szCs w:val="21"/>
              </w:rPr>
              <w:t>责任人与</w:t>
            </w:r>
            <w:r>
              <w:rPr>
                <w:rFonts w:eastAsia="仿宋"/>
                <w:kern w:val="0"/>
                <w:szCs w:val="21"/>
              </w:rPr>
              <w:t>领导机构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（1）有校级</w:t>
            </w:r>
            <w:r>
              <w:rPr>
                <w:rFonts w:hint="eastAsia" w:eastAsia="仿宋"/>
                <w:kern w:val="0"/>
                <w:szCs w:val="21"/>
              </w:rPr>
              <w:t>正式发文</w:t>
            </w:r>
            <w:r>
              <w:rPr>
                <w:rFonts w:eastAsia="仿宋"/>
                <w:kern w:val="0"/>
                <w:szCs w:val="21"/>
              </w:rPr>
              <w:t>，明确</w:t>
            </w:r>
            <w:r>
              <w:rPr>
                <w:rFonts w:hint="eastAsia" w:eastAsia="仿宋"/>
                <w:kern w:val="0"/>
                <w:szCs w:val="21"/>
              </w:rPr>
              <w:t>学校党政主要负责人是第一责任人；分管实验室工作的校领导是重要领导责任人，协助第一责任人负责实验室安全工作；其他校领导在分管工作范围内对实验室安全工作负有支持、监督和指导职责；设立校级领导机构，明确其部门组成和工作职责，分管实验室工作的校领导为该机构负责人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eastAsia="仿宋"/>
                <w:bCs/>
                <w:kern w:val="0"/>
                <w:szCs w:val="21"/>
                <w:lang w:eastAsia="zh-CN"/>
              </w:rPr>
            </w:pPr>
            <w:r>
              <w:rPr>
                <w:rFonts w:hint="eastAsia" w:eastAsia="仿宋"/>
                <w:bCs/>
                <w:kern w:val="0"/>
                <w:szCs w:val="21"/>
                <w:lang w:eastAsia="zh-CN"/>
              </w:rPr>
              <w:t>数字信息工作处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1.1.2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有明确的实验室安全管理职能部门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（2）明确牵头职能部门负责实验室安全工作，相关职能部门切实配合落实工作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eastAsia="仿宋"/>
                <w:bCs/>
                <w:kern w:val="0"/>
                <w:szCs w:val="21"/>
                <w:lang w:eastAsia="zh-CN"/>
              </w:rPr>
            </w:pPr>
            <w:r>
              <w:rPr>
                <w:rFonts w:hint="eastAsia" w:eastAsia="仿宋"/>
                <w:bCs/>
                <w:kern w:val="0"/>
                <w:szCs w:val="21"/>
                <w:lang w:eastAsia="zh-CN"/>
              </w:rPr>
              <w:t>数字信息工作处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1.1.3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学校与院系签订实验室安全管理责任书/告知书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（3）档案或信息系统里有现任学校领导与院系</w:t>
            </w:r>
            <w:r>
              <w:rPr>
                <w:rFonts w:hint="eastAsia" w:eastAsia="仿宋"/>
                <w:kern w:val="0"/>
                <w:szCs w:val="21"/>
              </w:rPr>
              <w:t>负责人</w:t>
            </w:r>
            <w:r>
              <w:rPr>
                <w:rFonts w:eastAsia="仿宋"/>
                <w:kern w:val="0"/>
                <w:szCs w:val="21"/>
              </w:rPr>
              <w:t>签字盖章的安全责任书/告知书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eastAsia="仿宋"/>
                <w:bCs/>
                <w:kern w:val="0"/>
                <w:szCs w:val="21"/>
                <w:lang w:eastAsia="zh-CN"/>
              </w:rPr>
            </w:pPr>
            <w:r>
              <w:rPr>
                <w:rFonts w:hint="eastAsia" w:eastAsia="仿宋"/>
                <w:bCs/>
                <w:kern w:val="0"/>
                <w:szCs w:val="21"/>
                <w:lang w:eastAsia="zh-CN"/>
              </w:rPr>
              <w:t>数字信息工作处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1.1.4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实验室安全工作纳入学校决策研究事项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（4）有学校相关会议（校务会议、党委常委会会议等）纪要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1.2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院系层面安全责任体系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1.2.1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二级单位党政负责人作为实验室安全工作主要领导责任人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（5）有带文号的院系文件</w:t>
            </w:r>
            <w:r>
              <w:rPr>
                <w:rFonts w:hint="eastAsia" w:eastAsia="仿宋"/>
                <w:bCs/>
                <w:kern w:val="0"/>
                <w:szCs w:val="21"/>
              </w:rPr>
              <w:t>如</w:t>
            </w:r>
            <w:r>
              <w:rPr>
                <w:rFonts w:eastAsia="仿宋"/>
                <w:bCs/>
                <w:kern w:val="0"/>
                <w:szCs w:val="21"/>
              </w:rPr>
              <w:t>党政联席会/办公会等纪要、通知或制度等明确其内容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hint="eastAsia" w:eastAsia="仿宋"/>
                <w:bCs/>
                <w:kern w:val="0"/>
                <w:szCs w:val="21"/>
              </w:rPr>
              <w:t>各二级院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1.2.2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成立院系级实验室安全工作领导小组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（6）有</w:t>
            </w:r>
            <w:r>
              <w:rPr>
                <w:rFonts w:eastAsia="仿宋"/>
                <w:bCs/>
                <w:kern w:val="0"/>
                <w:szCs w:val="21"/>
              </w:rPr>
              <w:t>带文号的院系</w:t>
            </w:r>
            <w:r>
              <w:rPr>
                <w:rFonts w:eastAsia="仿宋"/>
                <w:kern w:val="0"/>
                <w:szCs w:val="21"/>
              </w:rPr>
              <w:t>文件明确由院系党政主要领导作为负责人，设立分管实验室安全领导、安全助理，有实验室负责人或安全员等代表参与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hint="eastAsia" w:eastAsia="仿宋"/>
                <w:bCs/>
                <w:kern w:val="0"/>
                <w:szCs w:val="21"/>
              </w:rPr>
              <w:t>各二级院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1.2.3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建立院系实验室安全责任体系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（7）有文件资料或网络档案证明实验室（研究所、中心、教研室及具体实验室等）有安全责任人与安全员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hint="eastAsia" w:eastAsia="仿宋"/>
                <w:bCs/>
                <w:kern w:val="0"/>
                <w:szCs w:val="21"/>
              </w:rPr>
              <w:t>各二级院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1.2.4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有实验室安全责任书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（8）签订责任书到实验房间安全责任人，及每一位使用实验室的教职员工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hint="eastAsia" w:eastAsia="仿宋"/>
                <w:bCs/>
                <w:kern w:val="0"/>
                <w:szCs w:val="21"/>
              </w:rPr>
              <w:t>各二级院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1.3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经费保障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1.3.1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学校每年有实验室安全常规经费预算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（9）学校职能部门有预算审批凭据证明有专款用于实验室安全工作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eastAsia="仿宋"/>
                <w:bCs/>
                <w:kern w:val="0"/>
                <w:szCs w:val="21"/>
                <w:lang w:eastAsia="zh-CN"/>
              </w:rPr>
            </w:pPr>
            <w:r>
              <w:rPr>
                <w:rFonts w:hint="eastAsia" w:eastAsia="仿宋"/>
                <w:bCs/>
                <w:kern w:val="0"/>
                <w:szCs w:val="21"/>
                <w:lang w:eastAsia="zh-CN"/>
              </w:rPr>
              <w:t>数字信息工作处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1.3.2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学校有专项经费投入实验室安全工作，重大安全隐患整改经费能够落实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（10）学校职能部门有支出凭据证明有专款用于实验室安全工作，尤其是用于重大安全隐患整改项目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eastAsia="仿宋"/>
                <w:bCs/>
                <w:kern w:val="0"/>
                <w:szCs w:val="21"/>
                <w:lang w:eastAsia="zh-CN"/>
              </w:rPr>
            </w:pPr>
            <w:r>
              <w:rPr>
                <w:rFonts w:hint="eastAsia" w:eastAsia="仿宋"/>
                <w:bCs/>
                <w:kern w:val="0"/>
                <w:szCs w:val="21"/>
                <w:lang w:eastAsia="zh-CN"/>
              </w:rPr>
              <w:t>数字信息工作处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1.3.3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院系有自筹经费投入实验室安全建设与管理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（11）院系有支出凭据证明有专款用于实验室安全工作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1.4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队伍建设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1.4.1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学校根据需要配备专职或兼职的实验室安全管理人员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（12）有重</w:t>
            </w:r>
            <w:r>
              <w:rPr>
                <w:rFonts w:hint="eastAsia" w:eastAsia="仿宋"/>
                <w:kern w:val="0"/>
                <w:szCs w:val="21"/>
              </w:rPr>
              <w:t>要</w:t>
            </w:r>
            <w:r>
              <w:rPr>
                <w:rFonts w:eastAsia="仿宋"/>
                <w:kern w:val="0"/>
                <w:szCs w:val="21"/>
              </w:rPr>
              <w:t>危险源，即</w:t>
            </w:r>
            <w:r>
              <w:rPr>
                <w:rFonts w:eastAsia="仿宋"/>
                <w:szCs w:val="21"/>
              </w:rPr>
              <w:t>有毒有害（剧毒、易制爆、易制毒、爆炸品等）化学品、危险（易燃、易爆、有毒、窒息）气体、动物及病原微生物、辐射源及射线装置、同位素及核材料、危险性机械加工装置、强电强磁与激光设备、特种设备等</w:t>
            </w:r>
            <w:r>
              <w:rPr>
                <w:rFonts w:hint="eastAsia" w:eastAsia="仿宋"/>
                <w:kern w:val="0"/>
                <w:szCs w:val="21"/>
              </w:rPr>
              <w:t>的</w:t>
            </w:r>
            <w:r>
              <w:rPr>
                <w:rFonts w:eastAsia="仿宋"/>
                <w:kern w:val="0"/>
                <w:szCs w:val="21"/>
              </w:rPr>
              <w:t>高校应依据工作量，在校级管理机构配备</w:t>
            </w:r>
            <w:r>
              <w:rPr>
                <w:rFonts w:hint="eastAsia" w:eastAsia="仿宋"/>
                <w:kern w:val="0"/>
                <w:szCs w:val="21"/>
              </w:rPr>
              <w:t>足够</w:t>
            </w:r>
            <w:r>
              <w:rPr>
                <w:rFonts w:eastAsia="仿宋"/>
                <w:kern w:val="0"/>
                <w:szCs w:val="21"/>
              </w:rPr>
              <w:t>的专职实验室安全管理人员</w:t>
            </w:r>
            <w:r>
              <w:rPr>
                <w:rFonts w:hint="eastAsia" w:eastAsia="仿宋"/>
                <w:kern w:val="0"/>
                <w:szCs w:val="21"/>
              </w:rPr>
              <w:t>；</w:t>
            </w:r>
          </w:p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（13）</w:t>
            </w:r>
            <w:r>
              <w:rPr>
                <w:rFonts w:hint="eastAsia" w:eastAsia="仿宋"/>
                <w:kern w:val="0"/>
                <w:szCs w:val="21"/>
              </w:rPr>
              <w:t>有重要危险源的院系应依据工作量配备专职实验室安全管理人员</w:t>
            </w:r>
            <w:r>
              <w:rPr>
                <w:rFonts w:eastAsia="仿宋"/>
                <w:kern w:val="0"/>
                <w:szCs w:val="21"/>
              </w:rPr>
              <w:t>；文、管、艺术类、数学及信息相关工学等院系配备兼职实验室安全管理人员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eastAsia="仿宋"/>
                <w:kern w:val="0"/>
                <w:szCs w:val="21"/>
                <w:lang w:eastAsia="zh-CN"/>
              </w:rPr>
            </w:pPr>
            <w:r>
              <w:rPr>
                <w:rFonts w:hint="eastAsia" w:eastAsia="仿宋"/>
                <w:bCs/>
                <w:kern w:val="0"/>
                <w:szCs w:val="21"/>
                <w:lang w:eastAsia="zh-CN"/>
              </w:rPr>
              <w:t>数字信息工作处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1.4.2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有校级实验室安全检查队伍，可以由教师、实验技术人员组成，也可以利用有相关专业能力的社会力量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（14）有</w:t>
            </w:r>
            <w:r>
              <w:rPr>
                <w:rFonts w:hint="eastAsia" w:eastAsia="仿宋"/>
                <w:bCs/>
                <w:kern w:val="0"/>
                <w:szCs w:val="21"/>
              </w:rPr>
              <w:t>校级</w:t>
            </w:r>
            <w:r>
              <w:rPr>
                <w:rFonts w:eastAsia="仿宋"/>
                <w:bCs/>
                <w:kern w:val="0"/>
                <w:szCs w:val="21"/>
              </w:rPr>
              <w:t>文件证明学校设立了</w:t>
            </w:r>
            <w:r>
              <w:rPr>
                <w:rFonts w:eastAsia="仿宋"/>
                <w:kern w:val="0"/>
                <w:szCs w:val="21"/>
              </w:rPr>
              <w:t>检查队伍，并有</w:t>
            </w:r>
            <w:r>
              <w:rPr>
                <w:rFonts w:eastAsia="仿宋"/>
                <w:bCs/>
                <w:kern w:val="0"/>
                <w:szCs w:val="21"/>
              </w:rPr>
              <w:t>工作记录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eastAsia="仿宋"/>
                <w:kern w:val="0"/>
                <w:szCs w:val="21"/>
                <w:lang w:eastAsia="zh-CN"/>
              </w:rPr>
            </w:pPr>
            <w:r>
              <w:rPr>
                <w:rFonts w:hint="eastAsia" w:eastAsia="仿宋"/>
                <w:bCs/>
                <w:kern w:val="0"/>
                <w:szCs w:val="21"/>
                <w:lang w:eastAsia="zh-CN"/>
              </w:rPr>
              <w:t>数字信息工作处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1.4.3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各级主管实验室安全的负责人、管理人员及技术人员到岗一年内须接受实验室安全培训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（15）有培训记录（证书、电子文档、书面记录）等证明培训及合格情况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eastAsia="仿宋"/>
                <w:kern w:val="0"/>
                <w:szCs w:val="21"/>
                <w:lang w:eastAsia="zh-CN"/>
              </w:rPr>
            </w:pPr>
            <w:r>
              <w:rPr>
                <w:rFonts w:hint="eastAsia" w:eastAsia="仿宋"/>
                <w:bCs/>
                <w:kern w:val="0"/>
                <w:szCs w:val="21"/>
                <w:lang w:eastAsia="zh-CN"/>
              </w:rPr>
              <w:t>数字信息工作处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1.5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其</w:t>
            </w:r>
            <w:r>
              <w:rPr>
                <w:rFonts w:hint="eastAsia" w:eastAsia="仿宋"/>
                <w:b/>
                <w:kern w:val="0"/>
                <w:szCs w:val="21"/>
              </w:rPr>
              <w:t>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1.5.1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采用信息化手段管理实验室安全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（16）学校建设信息管理等系统用于实验室安全管理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eastAsia="仿宋"/>
                <w:kern w:val="0"/>
                <w:szCs w:val="21"/>
                <w:lang w:eastAsia="zh-CN"/>
              </w:rPr>
            </w:pPr>
            <w:r>
              <w:rPr>
                <w:rFonts w:hint="eastAsia" w:eastAsia="仿宋"/>
                <w:bCs/>
                <w:kern w:val="0"/>
                <w:szCs w:val="21"/>
                <w:lang w:eastAsia="zh-CN"/>
              </w:rPr>
              <w:t>数字信息工作处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1.5.2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建立实验室安全工作档案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（17）包括责任体系、队伍建设、安全制度、奖惩、教育培训、安全检查、隐患整改、事故调查与处理、专业安全、</w:t>
            </w:r>
            <w:r>
              <w:rPr>
                <w:rFonts w:hint="eastAsia" w:eastAsia="仿宋"/>
                <w:kern w:val="0"/>
                <w:szCs w:val="21"/>
              </w:rPr>
              <w:t>其他</w:t>
            </w:r>
            <w:r>
              <w:rPr>
                <w:rFonts w:eastAsia="仿宋"/>
                <w:kern w:val="0"/>
                <w:szCs w:val="21"/>
              </w:rPr>
              <w:t>相关的常规或阶段性工作归档资料等</w:t>
            </w:r>
            <w:r>
              <w:rPr>
                <w:rFonts w:hint="eastAsia" w:eastAsia="仿宋"/>
                <w:kern w:val="0"/>
                <w:szCs w:val="21"/>
              </w:rPr>
              <w:t>，且</w:t>
            </w:r>
            <w:r>
              <w:rPr>
                <w:rFonts w:eastAsia="仿宋"/>
                <w:kern w:val="0"/>
                <w:szCs w:val="21"/>
              </w:rPr>
              <w:t>档案分类规范合理，便于查找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bCs/>
                <w:kern w:val="0"/>
                <w:szCs w:val="21"/>
                <w:lang w:eastAsia="zh-CN"/>
              </w:rPr>
              <w:t>数字信息工作处</w:t>
            </w:r>
            <w:r>
              <w:rPr>
                <w:rFonts w:hint="eastAsia" w:eastAsia="仿宋"/>
                <w:bCs/>
                <w:kern w:val="0"/>
                <w:szCs w:val="21"/>
              </w:rPr>
              <w:t>、各二级院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2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规章制度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2.1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实验室安全管理制度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2.1.1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有校级实验室安全管理</w:t>
            </w:r>
            <w:r>
              <w:rPr>
                <w:rFonts w:hint="eastAsia" w:eastAsia="仿宋"/>
                <w:bCs/>
                <w:kern w:val="0"/>
                <w:szCs w:val="21"/>
              </w:rPr>
              <w:t>制度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（18）有</w:t>
            </w:r>
            <w:r>
              <w:rPr>
                <w:rFonts w:hint="eastAsia" w:eastAsia="仿宋"/>
                <w:bCs/>
                <w:kern w:val="0"/>
                <w:szCs w:val="21"/>
              </w:rPr>
              <w:t>正式发文</w:t>
            </w:r>
            <w:r>
              <w:rPr>
                <w:rFonts w:eastAsia="仿宋"/>
                <w:bCs/>
                <w:kern w:val="0"/>
                <w:szCs w:val="21"/>
              </w:rPr>
              <w:t xml:space="preserve">的校级实验室安全管理规定，内容包括上位法依据、实验室范围、安全管理原则、组织架构、责任体系、奖惩、事故处理、责任与追究、安全文化等要素 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eastAsia="仿宋"/>
                <w:bCs/>
                <w:kern w:val="0"/>
                <w:szCs w:val="21"/>
                <w:lang w:eastAsia="zh-CN"/>
              </w:rPr>
            </w:pPr>
            <w:r>
              <w:rPr>
                <w:rFonts w:hint="eastAsia" w:eastAsia="仿宋"/>
                <w:bCs/>
                <w:kern w:val="0"/>
                <w:szCs w:val="21"/>
                <w:lang w:eastAsia="zh-CN"/>
              </w:rPr>
              <w:t>数字信息工作处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2.1.2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有校级实验室安全管理</w:t>
            </w:r>
            <w:r>
              <w:rPr>
                <w:rFonts w:hint="eastAsia" w:eastAsia="仿宋"/>
                <w:bCs/>
                <w:kern w:val="0"/>
                <w:szCs w:val="21"/>
              </w:rPr>
              <w:t>办法或细则、应急预案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（</w:t>
            </w:r>
            <w:r>
              <w:rPr>
                <w:rFonts w:hint="eastAsia" w:eastAsia="仿宋"/>
                <w:bCs/>
                <w:kern w:val="0"/>
                <w:szCs w:val="21"/>
              </w:rPr>
              <w:t>1</w:t>
            </w:r>
            <w:r>
              <w:rPr>
                <w:rFonts w:eastAsia="仿宋"/>
                <w:bCs/>
                <w:kern w:val="0"/>
                <w:szCs w:val="21"/>
              </w:rPr>
              <w:t>9）学校或职能部门依据危险源情况</w:t>
            </w:r>
            <w:r>
              <w:rPr>
                <w:rFonts w:hint="eastAsia" w:eastAsia="仿宋"/>
                <w:bCs/>
                <w:kern w:val="0"/>
                <w:szCs w:val="21"/>
              </w:rPr>
              <w:t>制定</w:t>
            </w:r>
            <w:r>
              <w:rPr>
                <w:rFonts w:eastAsia="仿宋"/>
                <w:bCs/>
                <w:kern w:val="0"/>
                <w:szCs w:val="21"/>
              </w:rPr>
              <w:t>实验室分级</w:t>
            </w:r>
            <w:r>
              <w:rPr>
                <w:rFonts w:hint="eastAsia" w:eastAsia="仿宋"/>
                <w:bCs/>
                <w:kern w:val="0"/>
                <w:szCs w:val="21"/>
              </w:rPr>
              <w:t>分类</w:t>
            </w:r>
            <w:r>
              <w:rPr>
                <w:rFonts w:eastAsia="仿宋"/>
                <w:bCs/>
                <w:kern w:val="0"/>
                <w:szCs w:val="21"/>
              </w:rPr>
              <w:t>、准入管理、安全检查、奖惩，以及</w:t>
            </w:r>
            <w:r>
              <w:rPr>
                <w:rFonts w:hint="eastAsia" w:eastAsia="仿宋"/>
                <w:bCs/>
                <w:kern w:val="0"/>
                <w:szCs w:val="21"/>
              </w:rPr>
              <w:t>各类专业安全</w:t>
            </w:r>
            <w:r>
              <w:rPr>
                <w:rFonts w:eastAsia="仿宋"/>
                <w:bCs/>
                <w:kern w:val="0"/>
                <w:szCs w:val="21"/>
              </w:rPr>
              <w:t>等二级管理办法</w:t>
            </w:r>
            <w:r>
              <w:rPr>
                <w:rFonts w:hint="eastAsia" w:eastAsia="仿宋"/>
                <w:bCs/>
                <w:kern w:val="0"/>
                <w:szCs w:val="21"/>
              </w:rPr>
              <w:t>，并正式发文；</w:t>
            </w:r>
          </w:p>
          <w:p>
            <w:pPr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（20）有校级的实验室安全事故应急处置预案</w:t>
            </w:r>
            <w:r>
              <w:rPr>
                <w:rFonts w:hint="eastAsia" w:eastAsia="仿宋"/>
                <w:bCs/>
                <w:kern w:val="0"/>
                <w:szCs w:val="21"/>
              </w:rPr>
              <w:t>，并正式发文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eastAsia="仿宋"/>
                <w:bCs/>
                <w:kern w:val="0"/>
                <w:szCs w:val="21"/>
                <w:lang w:eastAsia="zh-CN"/>
              </w:rPr>
            </w:pPr>
            <w:r>
              <w:rPr>
                <w:rFonts w:hint="eastAsia" w:eastAsia="仿宋"/>
                <w:bCs/>
                <w:kern w:val="0"/>
                <w:szCs w:val="21"/>
                <w:lang w:eastAsia="zh-CN"/>
              </w:rPr>
              <w:t>数字信息工作处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2.1.3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有院系级实验安全管理制度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（21）建有院系特色的实验室安全管理制度，包含安全检查、风险评估、实验室准入、应急预案、安全培训等</w:t>
            </w:r>
            <w:r>
              <w:rPr>
                <w:rFonts w:hint="eastAsia" w:eastAsia="仿宋"/>
                <w:bCs/>
                <w:kern w:val="0"/>
                <w:szCs w:val="21"/>
              </w:rPr>
              <w:t>内容；</w:t>
            </w:r>
            <w:r>
              <w:rPr>
                <w:rFonts w:eastAsia="仿宋"/>
                <w:bCs/>
                <w:kern w:val="0"/>
                <w:szCs w:val="21"/>
              </w:rPr>
              <w:t>制度文件应</w:t>
            </w:r>
            <w:r>
              <w:rPr>
                <w:rFonts w:hint="eastAsia" w:eastAsia="仿宋"/>
                <w:bCs/>
                <w:kern w:val="0"/>
                <w:szCs w:val="21"/>
              </w:rPr>
              <w:t>有</w:t>
            </w:r>
            <w:r>
              <w:rPr>
                <w:rFonts w:eastAsia="仿宋"/>
                <w:bCs/>
                <w:kern w:val="0"/>
                <w:szCs w:val="21"/>
              </w:rPr>
              <w:t>院系</w:t>
            </w:r>
            <w:r>
              <w:rPr>
                <w:rFonts w:hint="eastAsia" w:eastAsia="仿宋"/>
                <w:bCs/>
                <w:kern w:val="0"/>
                <w:szCs w:val="21"/>
              </w:rPr>
              <w:t>正式发文</w:t>
            </w:r>
            <w:r>
              <w:rPr>
                <w:rFonts w:eastAsia="仿宋"/>
                <w:bCs/>
                <w:kern w:val="0"/>
                <w:szCs w:val="21"/>
              </w:rPr>
              <w:t>，</w:t>
            </w:r>
            <w:r>
              <w:rPr>
                <w:rFonts w:hint="eastAsia" w:eastAsia="仿宋"/>
                <w:bCs/>
                <w:kern w:val="0"/>
                <w:szCs w:val="21"/>
              </w:rPr>
              <w:t>并及</w:t>
            </w:r>
            <w:r>
              <w:rPr>
                <w:rFonts w:eastAsia="仿宋"/>
                <w:bCs/>
                <w:kern w:val="0"/>
                <w:szCs w:val="21"/>
              </w:rPr>
              <w:t>时修订更新；文件应具有可操作性或实际管理效用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</w:rPr>
            </w:pPr>
            <w:r>
              <w:rPr>
                <w:rFonts w:hint="eastAsia" w:eastAsia="仿宋"/>
                <w:bCs/>
                <w:kern w:val="0"/>
              </w:rPr>
              <w:t>各二级院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3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安全宣传教育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3.1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安全教育活动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3.1.1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开设实验室安全必修课或选修课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（22）对于有</w:t>
            </w:r>
            <w:r>
              <w:rPr>
                <w:rFonts w:eastAsia="仿宋"/>
                <w:kern w:val="0"/>
                <w:szCs w:val="21"/>
              </w:rPr>
              <w:t>重</w:t>
            </w:r>
            <w:r>
              <w:rPr>
                <w:rFonts w:hint="eastAsia" w:eastAsia="仿宋"/>
                <w:kern w:val="0"/>
                <w:szCs w:val="21"/>
              </w:rPr>
              <w:t>要危</w:t>
            </w:r>
            <w:r>
              <w:rPr>
                <w:rFonts w:eastAsia="仿宋"/>
                <w:kern w:val="0"/>
                <w:szCs w:val="21"/>
              </w:rPr>
              <w:t>险源</w:t>
            </w:r>
            <w:r>
              <w:rPr>
                <w:rFonts w:eastAsia="仿宋"/>
                <w:bCs/>
                <w:kern w:val="0"/>
                <w:szCs w:val="21"/>
              </w:rPr>
              <w:t>（见第1</w:t>
            </w:r>
            <w:r>
              <w:rPr>
                <w:rFonts w:hint="eastAsia" w:eastAsia="仿宋"/>
                <w:bCs/>
                <w:kern w:val="0"/>
                <w:szCs w:val="21"/>
              </w:rPr>
              <w:t>2目</w:t>
            </w:r>
            <w:r>
              <w:rPr>
                <w:rFonts w:eastAsia="仿宋"/>
                <w:bCs/>
                <w:kern w:val="0"/>
                <w:szCs w:val="21"/>
              </w:rPr>
              <w:t>）的院系和专业，要开设有学分的安全教育必修课或将安全教育课程纳入必修环节；鼓励其他专业开设安全选修课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hint="eastAsia" w:eastAsia="仿宋"/>
                <w:bCs/>
                <w:kern w:val="0"/>
                <w:szCs w:val="21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3.1.2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开展校级安全教育培训活动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（23）校级层面每年有档案证明开展了实验室安全教育培训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eastAsia="仿宋"/>
                <w:bCs/>
                <w:kern w:val="0"/>
                <w:szCs w:val="21"/>
                <w:lang w:eastAsia="zh-CN"/>
              </w:rPr>
            </w:pPr>
            <w:r>
              <w:rPr>
                <w:rFonts w:hint="eastAsia" w:eastAsia="仿宋"/>
                <w:bCs/>
                <w:kern w:val="0"/>
                <w:szCs w:val="21"/>
                <w:lang w:eastAsia="zh-CN"/>
              </w:rPr>
              <w:t>数字信息工作处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3.1.3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院系开展专业安全培训活动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（24）院系层面每年有档案证明开展了实验室安全教育培训，</w:t>
            </w:r>
            <w:r>
              <w:rPr>
                <w:rFonts w:eastAsia="仿宋"/>
                <w:kern w:val="0"/>
                <w:szCs w:val="21"/>
              </w:rPr>
              <w:t>重点关注外来人员和研究生新生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hint="eastAsia" w:eastAsia="仿宋"/>
                <w:bCs/>
                <w:kern w:val="0"/>
              </w:rPr>
              <w:t>各二级院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3.1.4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开展结合学科特点的应急演练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（25）每年有校级的实验室安全事故应急演练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eastAsia="仿宋"/>
                <w:bCs/>
                <w:kern w:val="0"/>
                <w:szCs w:val="21"/>
                <w:lang w:eastAsia="zh-CN"/>
              </w:rPr>
            </w:pPr>
            <w:r>
              <w:rPr>
                <w:rFonts w:hint="eastAsia" w:eastAsia="仿宋"/>
                <w:bCs/>
                <w:kern w:val="0"/>
                <w:szCs w:val="21"/>
                <w:lang w:eastAsia="zh-CN"/>
              </w:rPr>
              <w:t>数字信息工作处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3.1.5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组织实验室安全知识考试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（26）建设有考试</w:t>
            </w:r>
            <w:r>
              <w:rPr>
                <w:rFonts w:hint="eastAsia" w:eastAsia="仿宋"/>
                <w:kern w:val="0"/>
                <w:szCs w:val="21"/>
              </w:rPr>
              <w:t>系统</w:t>
            </w:r>
            <w:r>
              <w:rPr>
                <w:rFonts w:eastAsia="仿宋"/>
                <w:kern w:val="0"/>
                <w:szCs w:val="21"/>
              </w:rPr>
              <w:t>或考试题库并及时更新，从事实验工作的学生、教职工及外来人员均需参加考试，通过者发放合格证书或保留记录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eastAsia="仿宋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eastAsia="仿宋"/>
                <w:bCs/>
                <w:kern w:val="0"/>
                <w:szCs w:val="21"/>
                <w:lang w:eastAsia="zh-CN"/>
              </w:rPr>
              <w:t>数字信息工作处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3.2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安全文化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3.2.1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建设有学校特色的安全文化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（27）学校有网页设立专栏开展安全宣传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eastAsia="仿宋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eastAsia="仿宋"/>
                <w:bCs/>
                <w:kern w:val="0"/>
                <w:szCs w:val="21"/>
                <w:lang w:eastAsia="zh-CN"/>
              </w:rPr>
              <w:t>数字信息工作处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3.2.2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编印学校实验室安全手册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（28）将实验室安全手册发放到每一位从事实验活动的师生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hint="eastAsia" w:eastAsia="仿宋"/>
                <w:bCs/>
                <w:kern w:val="0"/>
                <w:szCs w:val="21"/>
                <w:lang w:eastAsia="zh-CN"/>
              </w:rPr>
              <w:t>数字信息工作处</w:t>
            </w:r>
            <w:r>
              <w:rPr>
                <w:rFonts w:hint="eastAsia" w:eastAsia="仿宋"/>
                <w:bCs/>
                <w:kern w:val="0"/>
                <w:szCs w:val="21"/>
              </w:rPr>
              <w:t>、各二级院、教务处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3.2.3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创新宣传教育形式，加强安全文化建设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（29）通过微信公众号、微博、工作简报、文化月、专项整治活动、安全评估、知识竞赛、微电影等方式，加强安全宣传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hint="eastAsia" w:eastAsia="仿宋"/>
                <w:bCs/>
                <w:kern w:val="0"/>
                <w:szCs w:val="21"/>
                <w:lang w:eastAsia="zh-CN"/>
              </w:rPr>
              <w:t>数字信息工作处</w:t>
            </w:r>
            <w:r>
              <w:rPr>
                <w:rFonts w:hint="eastAsia" w:eastAsia="仿宋"/>
                <w:bCs/>
                <w:kern w:val="0"/>
                <w:szCs w:val="21"/>
              </w:rPr>
              <w:t>、各二级院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4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安全检查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4.1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危险源辨识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4.1.1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学校、院系层面建立危险源分布清单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（30）清单内容需包括单位、房间、类别、数量、责任人等信息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hint="eastAsia" w:eastAsia="仿宋"/>
                <w:bCs/>
                <w:kern w:val="0"/>
                <w:szCs w:val="21"/>
                <w:lang w:eastAsia="zh-CN"/>
              </w:rPr>
              <w:t>数字信息工作处</w:t>
            </w:r>
            <w:r>
              <w:rPr>
                <w:rFonts w:hint="eastAsia" w:eastAsia="仿宋"/>
                <w:bCs/>
                <w:kern w:val="0"/>
                <w:szCs w:val="21"/>
              </w:rPr>
              <w:t>、各二级院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4.1.2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涉及危险源的实验场所，应有明确的警示标识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（31）涉及重</w:t>
            </w:r>
            <w:r>
              <w:rPr>
                <w:rFonts w:hint="eastAsia" w:eastAsia="仿宋"/>
                <w:bCs/>
                <w:kern w:val="0"/>
                <w:szCs w:val="21"/>
              </w:rPr>
              <w:t>要</w:t>
            </w:r>
            <w:r>
              <w:rPr>
                <w:rFonts w:eastAsia="仿宋"/>
                <w:bCs/>
                <w:kern w:val="0"/>
                <w:szCs w:val="21"/>
              </w:rPr>
              <w:t>危险源（见第1</w:t>
            </w:r>
            <w:r>
              <w:rPr>
                <w:rFonts w:hint="eastAsia" w:eastAsia="仿宋"/>
                <w:bCs/>
                <w:kern w:val="0"/>
                <w:szCs w:val="21"/>
              </w:rPr>
              <w:t>2目</w:t>
            </w:r>
            <w:r>
              <w:rPr>
                <w:rFonts w:eastAsia="仿宋"/>
                <w:bCs/>
                <w:kern w:val="0"/>
                <w:szCs w:val="21"/>
              </w:rPr>
              <w:t>）的场所，有显著的警示标识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hint="eastAsia" w:eastAsia="仿宋"/>
                <w:bCs/>
                <w:kern w:val="0"/>
                <w:szCs w:val="21"/>
              </w:rPr>
              <w:t>————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4.1.3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建立针对重要危险源的风险评估和应急管控方案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（32）学校、院系、实验室应逐级建立风险分级管控方案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hint="eastAsia" w:eastAsia="仿宋"/>
                <w:bCs/>
                <w:kern w:val="0"/>
                <w:szCs w:val="21"/>
                <w:lang w:eastAsia="zh-CN"/>
              </w:rPr>
              <w:t>数字信息工作处</w:t>
            </w:r>
            <w:r>
              <w:rPr>
                <w:rFonts w:hint="eastAsia" w:eastAsia="仿宋"/>
                <w:bCs/>
                <w:kern w:val="0"/>
                <w:szCs w:val="21"/>
              </w:rPr>
              <w:t>、各二级院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4.2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安全检查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4.2.1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学校层面开展定期/不定期检查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（33）每年不少于4次，并记录存档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eastAsia="仿宋"/>
                <w:bCs/>
                <w:kern w:val="0"/>
                <w:szCs w:val="21"/>
                <w:lang w:eastAsia="zh-CN"/>
              </w:rPr>
            </w:pPr>
            <w:r>
              <w:rPr>
                <w:rFonts w:hint="eastAsia" w:eastAsia="仿宋"/>
                <w:bCs/>
                <w:kern w:val="0"/>
                <w:szCs w:val="21"/>
                <w:lang w:eastAsia="zh-CN"/>
              </w:rPr>
              <w:t>数字信息工作处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4.2.2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院系层面开展定期检查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（34）每月不少于1次，并记录存档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hint="eastAsia" w:eastAsia="仿宋"/>
                <w:bCs/>
                <w:kern w:val="0"/>
                <w:szCs w:val="21"/>
              </w:rPr>
              <w:t>各二级院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4.2.3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针对高危实验物品开展专项检查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（35）针对</w:t>
            </w:r>
            <w:r>
              <w:rPr>
                <w:rFonts w:eastAsia="仿宋"/>
                <w:bCs/>
                <w:kern w:val="0"/>
                <w:szCs w:val="21"/>
              </w:rPr>
              <w:t>重</w:t>
            </w:r>
            <w:r>
              <w:rPr>
                <w:rFonts w:hint="eastAsia" w:eastAsia="仿宋"/>
                <w:bCs/>
                <w:kern w:val="0"/>
                <w:szCs w:val="21"/>
              </w:rPr>
              <w:t>要</w:t>
            </w:r>
            <w:r>
              <w:rPr>
                <w:rFonts w:eastAsia="仿宋"/>
                <w:bCs/>
                <w:kern w:val="0"/>
                <w:szCs w:val="21"/>
              </w:rPr>
              <w:t>险源（见第1</w:t>
            </w:r>
            <w:r>
              <w:rPr>
                <w:rFonts w:hint="eastAsia" w:eastAsia="仿宋"/>
                <w:bCs/>
                <w:kern w:val="0"/>
                <w:szCs w:val="21"/>
              </w:rPr>
              <w:t>2目</w:t>
            </w:r>
            <w:r>
              <w:rPr>
                <w:rFonts w:eastAsia="仿宋"/>
                <w:bCs/>
                <w:kern w:val="0"/>
                <w:szCs w:val="21"/>
              </w:rPr>
              <w:t>）</w:t>
            </w:r>
            <w:r>
              <w:rPr>
                <w:rFonts w:eastAsia="仿宋"/>
                <w:kern w:val="0"/>
                <w:szCs w:val="21"/>
              </w:rPr>
              <w:t>，开展定期专项检查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hint="eastAsia" w:eastAsia="仿宋"/>
                <w:bCs/>
                <w:kern w:val="0"/>
                <w:szCs w:val="21"/>
              </w:rPr>
              <w:t>————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4.2.4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实验室房间须建立自检自查台账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（36）定期检查</w:t>
            </w:r>
            <w:r>
              <w:rPr>
                <w:rFonts w:eastAsia="仿宋"/>
                <w:bCs/>
                <w:kern w:val="0"/>
                <w:szCs w:val="21"/>
              </w:rPr>
              <w:t>并留存记录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</w:rPr>
            </w:pPr>
            <w:r>
              <w:rPr>
                <w:rFonts w:hint="eastAsia" w:eastAsia="仿宋"/>
                <w:bCs/>
                <w:kern w:val="0"/>
                <w:szCs w:val="21"/>
              </w:rPr>
              <w:t>各二级院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4.2.5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安全检查人员应配备专业的防护和计量用具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（37）安全检查人员要佩戴标识、配备照相器具；</w:t>
            </w:r>
          </w:p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szCs w:val="21"/>
              </w:rPr>
              <w:t>（38）进入</w:t>
            </w:r>
            <w:r>
              <w:rPr>
                <w:rFonts w:hint="eastAsia" w:eastAsia="仿宋"/>
                <w:szCs w:val="21"/>
              </w:rPr>
              <w:t>涉及</w:t>
            </w:r>
            <w:r>
              <w:rPr>
                <w:rFonts w:eastAsia="仿宋"/>
                <w:szCs w:val="21"/>
              </w:rPr>
              <w:t>危化品、生物、辐射等实验室要穿戴必要的防护装具；检查辐射场所要佩戴个人辐射剂量计；配备必要的测量、计量用具（</w:t>
            </w:r>
            <w:r>
              <w:rPr>
                <w:rFonts w:hint="eastAsia" w:eastAsia="仿宋"/>
                <w:szCs w:val="21"/>
              </w:rPr>
              <w:t>手持式V</w:t>
            </w:r>
            <w:r>
              <w:rPr>
                <w:rFonts w:eastAsia="仿宋"/>
                <w:szCs w:val="21"/>
              </w:rPr>
              <w:t>OC</w:t>
            </w:r>
            <w:r>
              <w:rPr>
                <w:rFonts w:hint="eastAsia" w:eastAsia="仿宋"/>
                <w:szCs w:val="21"/>
              </w:rPr>
              <w:t>检测仪</w:t>
            </w:r>
            <w:r>
              <w:rPr>
                <w:rFonts w:eastAsia="仿宋"/>
                <w:szCs w:val="21"/>
              </w:rPr>
              <w:t>、声级计、风速仪</w:t>
            </w:r>
            <w:r>
              <w:rPr>
                <w:rFonts w:hint="eastAsia" w:eastAsia="仿宋"/>
                <w:szCs w:val="21"/>
              </w:rPr>
              <w:t>、</w:t>
            </w:r>
            <w:r>
              <w:rPr>
                <w:rFonts w:eastAsia="仿宋"/>
                <w:szCs w:val="21"/>
              </w:rPr>
              <w:t>电笔、万用表等）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</w:rPr>
            </w:pPr>
            <w:r>
              <w:rPr>
                <w:rFonts w:hint="eastAsia" w:eastAsia="仿宋"/>
                <w:bCs/>
                <w:kern w:val="0"/>
                <w:szCs w:val="21"/>
              </w:rPr>
              <w:t>————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4.3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安全隐患整改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4.3.1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检查中发现的问题应以正式形式通知到相关负责人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（39）通知的方式包括校网上公告、实验室安全简报、书面或电子的整改通知书等形式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eastAsia="仿宋"/>
                <w:bCs/>
                <w:kern w:val="0"/>
                <w:szCs w:val="21"/>
                <w:lang w:eastAsia="zh-CN"/>
              </w:rPr>
            </w:pPr>
            <w:r>
              <w:rPr>
                <w:rFonts w:hint="eastAsia" w:eastAsia="仿宋"/>
                <w:bCs/>
                <w:kern w:val="0"/>
                <w:szCs w:val="21"/>
                <w:lang w:eastAsia="zh-CN"/>
              </w:rPr>
              <w:t>数字信息工作处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4.3.2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院系应对问题隐患进行及时整改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（40）整改报告应在规定时间内提交学校管理部门；</w:t>
            </w:r>
          </w:p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（41）如存在重大隐患，实验室应立即停止实验活动，整改完成</w:t>
            </w:r>
            <w:r>
              <w:rPr>
                <w:rFonts w:hint="eastAsia" w:eastAsia="仿宋"/>
                <w:kern w:val="0"/>
                <w:szCs w:val="21"/>
              </w:rPr>
              <w:t>或</w:t>
            </w:r>
            <w:r>
              <w:rPr>
                <w:rFonts w:eastAsia="仿宋"/>
                <w:kern w:val="0"/>
                <w:szCs w:val="21"/>
              </w:rPr>
              <w:t>采取相应</w:t>
            </w:r>
            <w:r>
              <w:rPr>
                <w:rFonts w:hint="eastAsia" w:eastAsia="仿宋"/>
                <w:kern w:val="0"/>
                <w:szCs w:val="21"/>
              </w:rPr>
              <w:t>防护</w:t>
            </w:r>
            <w:r>
              <w:rPr>
                <w:rFonts w:eastAsia="仿宋"/>
                <w:kern w:val="0"/>
                <w:szCs w:val="21"/>
              </w:rPr>
              <w:t>措施后方能恢复实验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hint="eastAsia" w:eastAsia="仿宋"/>
                <w:bCs/>
                <w:kern w:val="0"/>
                <w:szCs w:val="21"/>
              </w:rPr>
              <w:t>各二级院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4.4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安全报告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4.4.1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学校有定期/不定期</w:t>
            </w:r>
            <w:r>
              <w:rPr>
                <w:rFonts w:eastAsia="仿宋"/>
                <w:bCs/>
                <w:kern w:val="0"/>
                <w:szCs w:val="21"/>
              </w:rPr>
              <w:t>的</w:t>
            </w:r>
            <w:r>
              <w:rPr>
                <w:rFonts w:eastAsia="仿宋"/>
                <w:kern w:val="0"/>
                <w:szCs w:val="21"/>
              </w:rPr>
              <w:t>安全检查通报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（42）</w:t>
            </w:r>
            <w:r>
              <w:rPr>
                <w:rFonts w:hint="eastAsia" w:eastAsia="仿宋"/>
                <w:bCs/>
                <w:kern w:val="0"/>
                <w:szCs w:val="21"/>
              </w:rPr>
              <w:t>存有</w:t>
            </w:r>
            <w:r>
              <w:rPr>
                <w:rFonts w:eastAsia="仿宋"/>
                <w:bCs/>
                <w:kern w:val="0"/>
                <w:szCs w:val="21"/>
              </w:rPr>
              <w:t>相关资料或电子文档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eastAsia="仿宋"/>
                <w:bCs/>
                <w:kern w:val="0"/>
                <w:szCs w:val="21"/>
                <w:lang w:eastAsia="zh-CN"/>
              </w:rPr>
            </w:pPr>
            <w:r>
              <w:rPr>
                <w:rFonts w:hint="eastAsia" w:eastAsia="仿宋"/>
                <w:bCs/>
                <w:kern w:val="0"/>
                <w:szCs w:val="21"/>
                <w:lang w:eastAsia="zh-CN"/>
              </w:rPr>
              <w:t>数字信息工作处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4.4.2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院系有安全检查及整改记录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（43）</w:t>
            </w:r>
            <w:r>
              <w:rPr>
                <w:rFonts w:hint="eastAsia" w:eastAsia="仿宋"/>
                <w:bCs/>
                <w:kern w:val="0"/>
                <w:szCs w:val="21"/>
              </w:rPr>
              <w:t>存有</w:t>
            </w:r>
            <w:r>
              <w:rPr>
                <w:rFonts w:eastAsia="仿宋"/>
                <w:bCs/>
                <w:kern w:val="0"/>
                <w:szCs w:val="21"/>
              </w:rPr>
              <w:t>相关资料或电子文档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hint="eastAsia" w:eastAsia="仿宋"/>
                <w:bCs/>
                <w:kern w:val="0"/>
                <w:szCs w:val="21"/>
              </w:rPr>
              <w:t>各二级院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5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实验场所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5.1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场所环境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5.1.1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实验场所应张贴安全信息牌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szCs w:val="21"/>
              </w:rPr>
              <w:t>（44）每个房间门口挂有安全信息牌，信息包括：安全风险点的警示标识、安全责任人、涉及危险类别、防护措施和有效的应急联系电话等，并及时更新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eastAsia="仿宋"/>
                <w:bCs/>
                <w:kern w:val="0"/>
                <w:szCs w:val="21"/>
                <w:lang w:eastAsia="zh-CN"/>
              </w:rPr>
            </w:pPr>
            <w:r>
              <w:rPr>
                <w:rFonts w:hint="eastAsia" w:eastAsia="仿宋"/>
                <w:bCs/>
                <w:kern w:val="0"/>
                <w:szCs w:val="21"/>
                <w:lang w:eastAsia="zh-CN"/>
              </w:rPr>
              <w:t>数字信息工作处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szCs w:val="21"/>
              </w:rPr>
              <w:t>5.1.2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szCs w:val="21"/>
              </w:rPr>
              <w:t>实验场所应具备合理的安全空间布局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（45）超过200平方米的实验楼层具有至少两处紧急出口，75平方米以上实验室要有两个出入口；</w:t>
            </w:r>
          </w:p>
          <w:p>
            <w:pPr>
              <w:widowControl/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（46）实验楼大走廊保证留有大于1.5</w:t>
            </w:r>
            <w:r>
              <w:rPr>
                <w:rFonts w:hint="eastAsia" w:eastAsia="仿宋"/>
                <w:szCs w:val="21"/>
              </w:rPr>
              <w:t>米</w:t>
            </w:r>
            <w:r>
              <w:rPr>
                <w:rFonts w:eastAsia="仿宋"/>
                <w:szCs w:val="21"/>
              </w:rPr>
              <w:t>净宽的消防通道；</w:t>
            </w:r>
          </w:p>
          <w:p>
            <w:pPr>
              <w:widowControl/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（47）实验室操作区层高不低于2米；</w:t>
            </w:r>
          </w:p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szCs w:val="21"/>
              </w:rPr>
              <w:t>（48）理工农医类实验室内多人同时进行实验时，人均操作面积不小于2.5平方米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hint="eastAsia" w:eastAsia="仿宋"/>
                <w:bCs/>
                <w:kern w:val="0"/>
                <w:szCs w:val="21"/>
              </w:rPr>
              <w:t>后勤处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szCs w:val="21"/>
              </w:rPr>
              <w:t>5.1.3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szCs w:val="21"/>
              </w:rPr>
              <w:t>实验室消防通道通畅，公共场所不堆放仪器和物品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szCs w:val="21"/>
              </w:rPr>
              <w:t>（49）保持消防通道通畅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hint="eastAsia" w:eastAsia="仿宋"/>
                <w:bCs/>
                <w:kern w:val="0"/>
                <w:szCs w:val="21"/>
              </w:rPr>
              <w:t>保卫处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szCs w:val="21"/>
              </w:rPr>
              <w:t>5.1.4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szCs w:val="21"/>
              </w:rPr>
              <w:t>实验室建设和装修应符合消防安全要求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（50）实验操作台应选用合格的防火、耐腐蚀材料；</w:t>
            </w:r>
          </w:p>
          <w:p>
            <w:pPr>
              <w:widowControl/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（51）仪器设备安装符合建筑物承重载荷；</w:t>
            </w:r>
          </w:p>
          <w:p>
            <w:pPr>
              <w:widowControl/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（52）有可燃气体的实验室不设吊顶；</w:t>
            </w:r>
          </w:p>
          <w:p>
            <w:pPr>
              <w:widowControl/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（53）不用的配电箱、插座、水管水龙头、网线、气体管路等，应及时拆除或封闭；</w:t>
            </w:r>
          </w:p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szCs w:val="21"/>
              </w:rPr>
              <w:t>（54）实验室门上有观察窗，外开门不阻挡逃生路径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hint="eastAsia" w:eastAsia="仿宋"/>
                <w:bCs/>
                <w:kern w:val="0"/>
                <w:szCs w:val="21"/>
              </w:rPr>
              <w:t>后勤处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5.1.5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实验室所有房间均须配有应急备用钥匙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szCs w:val="21"/>
              </w:rPr>
              <w:t>（55）应急备用钥匙需集中存放、统一管理，应急时方便取用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eastAsia="仿宋"/>
                <w:bCs/>
                <w:szCs w:val="21"/>
                <w:lang w:eastAsia="zh-CN"/>
              </w:rPr>
            </w:pPr>
            <w:r>
              <w:rPr>
                <w:rFonts w:hint="eastAsia" w:eastAsia="仿宋"/>
                <w:bCs/>
                <w:szCs w:val="21"/>
                <w:lang w:eastAsia="zh-CN"/>
              </w:rPr>
              <w:t>数字信息工作处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szCs w:val="21"/>
              </w:rPr>
              <w:t>5.1.6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szCs w:val="21"/>
              </w:rPr>
              <w:t>实验设备需做好振动减震</w:t>
            </w:r>
            <w:r>
              <w:rPr>
                <w:rFonts w:hint="eastAsia" w:eastAsia="仿宋"/>
                <w:szCs w:val="21"/>
              </w:rPr>
              <w:t>、电磁屏蔽</w:t>
            </w:r>
            <w:r>
              <w:rPr>
                <w:rFonts w:eastAsia="仿宋"/>
                <w:szCs w:val="21"/>
              </w:rPr>
              <w:t>和噪音降噪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（56）容易产生振动的设备，需考虑建立合理的减震措施；</w:t>
            </w:r>
          </w:p>
          <w:p>
            <w:pPr>
              <w:widowControl/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（57）易对外产生磁场或易受磁场干扰的设备，需做好磁屏蔽；</w:t>
            </w:r>
          </w:p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szCs w:val="21"/>
              </w:rPr>
              <w:t>（58）实验室噪声一般不高于55分贝（机械设备不高于70分贝）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hint="eastAsia" w:eastAsia="仿宋"/>
                <w:bCs/>
                <w:kern w:val="0"/>
                <w:szCs w:val="21"/>
              </w:rPr>
              <w:t>————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szCs w:val="21"/>
              </w:rPr>
              <w:t>5.1.7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实验室水、电、气管线布局合理，安装施工规范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szCs w:val="21"/>
              </w:rPr>
              <w:t>（59）采用管道供气的实验室，输气管道及阀门无漏气现象，并有明确标识</w:t>
            </w:r>
            <w:r>
              <w:rPr>
                <w:rFonts w:hint="eastAsia" w:eastAsia="仿宋"/>
                <w:bCs/>
                <w:szCs w:val="21"/>
              </w:rPr>
              <w:t>。</w:t>
            </w:r>
            <w:r>
              <w:rPr>
                <w:rFonts w:eastAsia="仿宋"/>
                <w:bCs/>
                <w:szCs w:val="21"/>
              </w:rPr>
              <w:t>供气管道有名称和气体流向标识，无破损；</w:t>
            </w:r>
          </w:p>
          <w:p>
            <w:pPr>
              <w:spacing w:line="300" w:lineRule="exact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（60）</w:t>
            </w:r>
            <w:r>
              <w:rPr>
                <w:rFonts w:eastAsia="仿宋"/>
                <w:szCs w:val="21"/>
              </w:rPr>
              <w:t>高温、明火设备放置位置与气体管道有安全间隔距离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bCs/>
                <w:szCs w:val="21"/>
              </w:rPr>
            </w:pPr>
            <w:r>
              <w:rPr>
                <w:rFonts w:hint="eastAsia" w:eastAsia="仿宋"/>
                <w:bCs/>
                <w:szCs w:val="21"/>
              </w:rPr>
              <w:t>后勤处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5.2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卫生与日常管理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szCs w:val="21"/>
              </w:rPr>
              <w:t>5.2.1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实验室分区应相对独立，布局合理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szCs w:val="21"/>
              </w:rPr>
              <w:t>（61）有毒有害实验区与学习区明确分开，合理布局，重点关注化学、生物、辐射、激光等类别实验室</w:t>
            </w:r>
            <w:r>
              <w:rPr>
                <w:rFonts w:hint="eastAsia" w:eastAsia="仿宋"/>
                <w:szCs w:val="21"/>
              </w:rPr>
              <w:t>。如部分区域分区不明显，现场查看</w:t>
            </w:r>
            <w:r>
              <w:rPr>
                <w:rFonts w:eastAsia="仿宋"/>
                <w:szCs w:val="21"/>
              </w:rPr>
              <w:t>有毒有害</w:t>
            </w:r>
            <w:r>
              <w:rPr>
                <w:rFonts w:hint="eastAsia" w:eastAsia="仿宋"/>
                <w:szCs w:val="21"/>
              </w:rPr>
              <w:t>物质的管理须对工作环境无健康危害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bCs/>
                <w:szCs w:val="21"/>
              </w:rPr>
            </w:pPr>
            <w:r>
              <w:rPr>
                <w:rFonts w:hint="eastAsia" w:eastAsia="仿宋"/>
                <w:bCs/>
                <w:szCs w:val="21"/>
              </w:rPr>
              <w:t>————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5.2.2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bCs/>
                <w:szCs w:val="21"/>
              </w:rPr>
              <w:t>实验室环境应整洁卫生有序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（62）实验室物品摆放有序，卫生状况良好，实验完毕物品归位，无废弃物品、不放无关物品；</w:t>
            </w:r>
          </w:p>
          <w:p>
            <w:pPr>
              <w:spacing w:line="300" w:lineRule="exact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szCs w:val="21"/>
              </w:rPr>
              <w:t>（63）</w:t>
            </w:r>
            <w:r>
              <w:rPr>
                <w:rFonts w:eastAsia="仿宋"/>
                <w:kern w:val="0"/>
                <w:szCs w:val="21"/>
              </w:rPr>
              <w:t>不在实验室睡觉过夜，不存放和烧煮食物、饮食，禁止吸烟、不使用可燃性蚊香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bCs/>
                <w:szCs w:val="21"/>
              </w:rPr>
            </w:pPr>
            <w:r>
              <w:rPr>
                <w:rFonts w:hint="eastAsia" w:eastAsia="仿宋"/>
                <w:bCs/>
                <w:szCs w:val="21"/>
              </w:rPr>
              <w:t>各二级院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5.2.3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实验室有卫生安全制度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（64）实验期间有记录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bCs/>
                <w:szCs w:val="21"/>
              </w:rPr>
            </w:pPr>
            <w:r>
              <w:rPr>
                <w:rFonts w:hint="eastAsia" w:eastAsia="仿宋"/>
                <w:bCs/>
                <w:szCs w:val="21"/>
              </w:rPr>
              <w:t>各二级院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5.3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场所</w:t>
            </w:r>
            <w:r>
              <w:rPr>
                <w:rFonts w:hint="eastAsia" w:eastAsia="仿宋"/>
                <w:b/>
                <w:kern w:val="0"/>
                <w:szCs w:val="21"/>
              </w:rPr>
              <w:t>其他</w:t>
            </w:r>
            <w:r>
              <w:rPr>
                <w:rFonts w:eastAsia="仿宋"/>
                <w:b/>
                <w:kern w:val="0"/>
                <w:szCs w:val="21"/>
              </w:rPr>
              <w:t>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szCs w:val="21"/>
              </w:rPr>
              <w:t>5.3.1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</w:rPr>
              <w:t>每间实验室均有编号并登记造册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（65）</w:t>
            </w:r>
            <w:r>
              <w:rPr>
                <w:rFonts w:hint="eastAsia" w:eastAsia="仿宋"/>
                <w:bCs/>
                <w:szCs w:val="21"/>
              </w:rPr>
              <w:t>现场查看门牌，查阅档案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hint="eastAsia" w:eastAsia="仿宋"/>
                <w:bCs/>
                <w:szCs w:val="21"/>
                <w:lang w:eastAsia="zh-CN"/>
              </w:rPr>
            </w:pPr>
            <w:r>
              <w:rPr>
                <w:rFonts w:hint="eastAsia" w:eastAsia="仿宋"/>
                <w:bCs/>
                <w:szCs w:val="21"/>
                <w:lang w:eastAsia="zh-CN"/>
              </w:rPr>
              <w:t>数字信息工作处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5.3.2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危险性实验室应配备急救物品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szCs w:val="21"/>
              </w:rPr>
              <w:t>（66）配备的药箱</w:t>
            </w:r>
            <w:r>
              <w:rPr>
                <w:rFonts w:hint="eastAsia" w:eastAsia="仿宋"/>
                <w:szCs w:val="21"/>
              </w:rPr>
              <w:t>不得</w:t>
            </w:r>
            <w:r>
              <w:rPr>
                <w:rFonts w:eastAsia="仿宋"/>
                <w:szCs w:val="21"/>
              </w:rPr>
              <w:t>上锁，并定期检查药品是否在保质期内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bCs/>
                <w:szCs w:val="21"/>
              </w:rPr>
            </w:pPr>
            <w:r>
              <w:rPr>
                <w:rFonts w:hint="eastAsia" w:eastAsia="仿宋"/>
                <w:bCs/>
                <w:szCs w:val="21"/>
              </w:rPr>
              <w:t>————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5.3.3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停用的实验室有安全防范措施和明显标识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（67）查看现场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6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安全设施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6.1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消防设施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6.1.1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实验室应配备合适的灭火设备，并定期开展使用训练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（68）烟感报警器、灭火器、灭火毯、消防</w:t>
            </w:r>
            <w:r>
              <w:rPr>
                <w:rFonts w:hint="eastAsia" w:eastAsia="仿宋"/>
                <w:kern w:val="0"/>
                <w:szCs w:val="21"/>
              </w:rPr>
              <w:t>砂</w:t>
            </w:r>
            <w:r>
              <w:rPr>
                <w:rFonts w:eastAsia="仿宋"/>
                <w:kern w:val="0"/>
                <w:szCs w:val="21"/>
              </w:rPr>
              <w:t>、消防喷淋等，应正常有效、方便取用</w:t>
            </w:r>
            <w:r>
              <w:rPr>
                <w:rFonts w:hint="eastAsia" w:eastAsia="仿宋"/>
                <w:kern w:val="0"/>
                <w:szCs w:val="21"/>
              </w:rPr>
              <w:t>；</w:t>
            </w:r>
          </w:p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（6</w:t>
            </w:r>
            <w:r>
              <w:rPr>
                <w:rFonts w:eastAsia="仿宋"/>
                <w:kern w:val="0"/>
                <w:szCs w:val="21"/>
              </w:rPr>
              <w:t>9</w:t>
            </w:r>
            <w:r>
              <w:rPr>
                <w:rFonts w:hint="eastAsia" w:eastAsia="仿宋"/>
                <w:kern w:val="0"/>
                <w:szCs w:val="21"/>
              </w:rPr>
              <w:t>）</w:t>
            </w:r>
            <w:r>
              <w:rPr>
                <w:rFonts w:eastAsia="仿宋"/>
                <w:kern w:val="0"/>
                <w:szCs w:val="21"/>
              </w:rPr>
              <w:t>灭火器种类配置正确</w:t>
            </w:r>
            <w:r>
              <w:rPr>
                <w:rFonts w:hint="eastAsia" w:eastAsia="仿宋"/>
                <w:kern w:val="0"/>
                <w:szCs w:val="21"/>
              </w:rPr>
              <w:t>，且</w:t>
            </w:r>
            <w:r>
              <w:rPr>
                <w:rFonts w:eastAsia="仿宋"/>
                <w:kern w:val="0"/>
                <w:szCs w:val="21"/>
              </w:rPr>
              <w:t>在有效期内（压力指针位置正常等），安全销（拉针）正常，瓶身无破损、腐蚀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hint="eastAsia" w:eastAsia="仿宋"/>
                <w:bCs/>
                <w:kern w:val="0"/>
                <w:szCs w:val="21"/>
              </w:rPr>
              <w:t>保卫处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6.1.2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紧急逃生疏散路线通畅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（70）在显著位置张贴有紧急逃生疏散路线图，疏散路线图的逃生路线应有二条（含）以上</w:t>
            </w:r>
            <w:r>
              <w:rPr>
                <w:rFonts w:hint="eastAsia" w:eastAsia="仿宋"/>
                <w:kern w:val="0"/>
                <w:szCs w:val="21"/>
              </w:rPr>
              <w:t>，</w:t>
            </w:r>
            <w:r>
              <w:rPr>
                <w:rFonts w:eastAsia="仿宋"/>
                <w:kern w:val="0"/>
                <w:szCs w:val="21"/>
              </w:rPr>
              <w:t>路线与现场情况符合；</w:t>
            </w:r>
          </w:p>
          <w:p>
            <w:pPr>
              <w:rPr>
                <w:rFonts w:eastAsia="仿宋"/>
                <w:kern w:val="0"/>
              </w:rPr>
            </w:pPr>
            <w:r>
              <w:rPr>
                <w:rFonts w:eastAsia="仿宋"/>
                <w:kern w:val="0"/>
                <w:szCs w:val="21"/>
              </w:rPr>
              <w:t>（71）主要逃生路径（室内、楼梯、通道和出口处）有足够的紧急照明灯，功能正常</w:t>
            </w:r>
            <w:r>
              <w:rPr>
                <w:rFonts w:eastAsia="仿宋"/>
                <w:kern w:val="0"/>
              </w:rPr>
              <w:t>，并设置有效标识指示逃生方向；</w:t>
            </w:r>
          </w:p>
          <w:p>
            <w:pPr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kern w:val="0"/>
              </w:rPr>
              <w:t>（72）</w:t>
            </w:r>
            <w:r>
              <w:rPr>
                <w:rFonts w:eastAsia="仿宋"/>
                <w:kern w:val="0"/>
                <w:szCs w:val="21"/>
              </w:rPr>
              <w:t>人员应熟悉紧急疏散路线及火场逃生注意事项</w:t>
            </w:r>
            <w:r>
              <w:rPr>
                <w:rFonts w:hint="eastAsia" w:eastAsia="仿宋"/>
                <w:kern w:val="0"/>
                <w:szCs w:val="21"/>
              </w:rPr>
              <w:t>（现场调查人员熟悉程度）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hint="eastAsia" w:eastAsia="仿宋"/>
                <w:bCs/>
                <w:kern w:val="0"/>
                <w:szCs w:val="21"/>
              </w:rPr>
              <w:t>保卫处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7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基础安全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7.1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用电用水基础安全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7.1.1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实验室用电安全应符合国家标准（导则）和行业标准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（</w:t>
            </w:r>
            <w:r>
              <w:rPr>
                <w:rFonts w:eastAsia="仿宋"/>
                <w:kern w:val="0"/>
                <w:szCs w:val="21"/>
              </w:rPr>
              <w:t>94</w:t>
            </w:r>
            <w:r>
              <w:rPr>
                <w:rFonts w:hint="eastAsia" w:eastAsia="仿宋"/>
                <w:kern w:val="0"/>
                <w:szCs w:val="21"/>
              </w:rPr>
              <w:t>）</w:t>
            </w:r>
            <w:r>
              <w:rPr>
                <w:rFonts w:eastAsia="仿宋"/>
                <w:kern w:val="0"/>
                <w:szCs w:val="21"/>
              </w:rPr>
              <w:t>实验室电容量、插头插座与用电设备功率需匹配，不得私自改装；</w:t>
            </w:r>
          </w:p>
          <w:p>
            <w:pPr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（</w:t>
            </w:r>
            <w:r>
              <w:rPr>
                <w:rFonts w:eastAsia="仿宋"/>
                <w:kern w:val="0"/>
                <w:szCs w:val="21"/>
              </w:rPr>
              <w:t>95</w:t>
            </w:r>
            <w:r>
              <w:rPr>
                <w:rFonts w:hint="eastAsia" w:eastAsia="仿宋"/>
                <w:kern w:val="0"/>
                <w:szCs w:val="21"/>
              </w:rPr>
              <w:t>）</w:t>
            </w:r>
            <w:r>
              <w:rPr>
                <w:rFonts w:eastAsia="仿宋"/>
                <w:kern w:val="0"/>
                <w:szCs w:val="21"/>
              </w:rPr>
              <w:t>电源插座须有效固定；</w:t>
            </w:r>
          </w:p>
          <w:p>
            <w:pPr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（</w:t>
            </w:r>
            <w:r>
              <w:rPr>
                <w:rFonts w:eastAsia="仿宋"/>
                <w:kern w:val="0"/>
                <w:szCs w:val="21"/>
              </w:rPr>
              <w:t>96</w:t>
            </w:r>
            <w:r>
              <w:rPr>
                <w:rFonts w:hint="eastAsia" w:eastAsia="仿宋"/>
                <w:kern w:val="0"/>
                <w:szCs w:val="21"/>
              </w:rPr>
              <w:t>）</w:t>
            </w:r>
            <w:r>
              <w:rPr>
                <w:rFonts w:eastAsia="仿宋"/>
                <w:kern w:val="0"/>
                <w:szCs w:val="21"/>
              </w:rPr>
              <w:t>电气设备应配备空气开关和漏电保护器；</w:t>
            </w:r>
          </w:p>
          <w:p>
            <w:pPr>
              <w:rPr>
                <w:rFonts w:eastAsia="仿宋"/>
                <w:kern w:val="0"/>
              </w:rPr>
            </w:pPr>
            <w:r>
              <w:rPr>
                <w:rFonts w:hint="eastAsia" w:eastAsia="仿宋"/>
                <w:kern w:val="0"/>
                <w:szCs w:val="21"/>
              </w:rPr>
              <w:t>（</w:t>
            </w:r>
            <w:r>
              <w:rPr>
                <w:rFonts w:eastAsia="仿宋"/>
                <w:kern w:val="0"/>
                <w:szCs w:val="21"/>
              </w:rPr>
              <w:t>97</w:t>
            </w:r>
            <w:r>
              <w:rPr>
                <w:rFonts w:hint="eastAsia" w:eastAsia="仿宋"/>
                <w:kern w:val="0"/>
                <w:szCs w:val="21"/>
              </w:rPr>
              <w:t>）</w:t>
            </w:r>
            <w:r>
              <w:rPr>
                <w:rFonts w:eastAsia="仿宋"/>
                <w:kern w:val="0"/>
                <w:szCs w:val="21"/>
              </w:rPr>
              <w:t>不私自乱拉乱接电线电缆，禁止多个接线板串接供电，接线板不宜直接置于地面</w:t>
            </w:r>
            <w:r>
              <w:rPr>
                <w:rFonts w:hint="eastAsia" w:eastAsia="仿宋"/>
                <w:kern w:val="0"/>
              </w:rPr>
              <w:t>；</w:t>
            </w:r>
          </w:p>
          <w:p>
            <w:pPr>
              <w:rPr>
                <w:rFonts w:eastAsia="仿宋"/>
                <w:kern w:val="0"/>
              </w:rPr>
            </w:pPr>
            <w:r>
              <w:rPr>
                <w:rFonts w:hint="eastAsia" w:eastAsia="仿宋"/>
                <w:kern w:val="0"/>
              </w:rPr>
              <w:t>（</w:t>
            </w:r>
            <w:r>
              <w:rPr>
                <w:rFonts w:eastAsia="仿宋"/>
                <w:kern w:val="0"/>
              </w:rPr>
              <w:t>98</w:t>
            </w:r>
            <w:r>
              <w:rPr>
                <w:rFonts w:hint="eastAsia" w:eastAsia="仿宋"/>
                <w:kern w:val="0"/>
              </w:rPr>
              <w:t>）禁止使用老化的线缆、花线、木质配电板、有破损的接线板，电线接头绝缘可靠，无裸露连接线，穿越通道的线缆应有盖板或护套，不使用老国标接线板；</w:t>
            </w:r>
          </w:p>
          <w:p>
            <w:pPr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（</w:t>
            </w:r>
            <w:r>
              <w:rPr>
                <w:rFonts w:eastAsia="仿宋"/>
                <w:kern w:val="0"/>
                <w:szCs w:val="21"/>
              </w:rPr>
              <w:t>99</w:t>
            </w:r>
            <w:r>
              <w:rPr>
                <w:rFonts w:hint="eastAsia" w:eastAsia="仿宋"/>
                <w:kern w:val="0"/>
                <w:szCs w:val="21"/>
              </w:rPr>
              <w:t>）</w:t>
            </w:r>
            <w:r>
              <w:rPr>
                <w:rFonts w:eastAsia="仿宋"/>
                <w:kern w:val="0"/>
                <w:szCs w:val="21"/>
              </w:rPr>
              <w:t>大功率仪器（包括空调等）使用专用插座（不可使用接线板）</w:t>
            </w:r>
            <w:r>
              <w:rPr>
                <w:rFonts w:hint="eastAsia" w:eastAsia="仿宋"/>
                <w:kern w:val="0"/>
                <w:szCs w:val="21"/>
              </w:rPr>
              <w:t>；</w:t>
            </w:r>
          </w:p>
          <w:p>
            <w:pPr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（</w:t>
            </w:r>
            <w:r>
              <w:rPr>
                <w:rFonts w:eastAsia="仿宋"/>
                <w:kern w:val="0"/>
                <w:szCs w:val="21"/>
              </w:rPr>
              <w:t>100</w:t>
            </w:r>
            <w:r>
              <w:rPr>
                <w:rFonts w:hint="eastAsia" w:eastAsia="仿宋"/>
                <w:kern w:val="0"/>
                <w:szCs w:val="21"/>
              </w:rPr>
              <w:t>）</w:t>
            </w:r>
            <w:r>
              <w:rPr>
                <w:rFonts w:eastAsia="仿宋"/>
                <w:kern w:val="0"/>
                <w:szCs w:val="21"/>
              </w:rPr>
              <w:t>电器长期不用时，应切断电源；</w:t>
            </w:r>
          </w:p>
          <w:p>
            <w:pPr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（</w:t>
            </w:r>
            <w:r>
              <w:rPr>
                <w:rFonts w:eastAsia="仿宋"/>
                <w:kern w:val="0"/>
                <w:szCs w:val="21"/>
              </w:rPr>
              <w:t>101</w:t>
            </w:r>
            <w:r>
              <w:rPr>
                <w:rFonts w:hint="eastAsia" w:eastAsia="仿宋"/>
                <w:kern w:val="0"/>
                <w:szCs w:val="21"/>
              </w:rPr>
              <w:t>）配电箱前不应有物品遮挡并便于操作，周围不应放置烘箱、电炉、易燃易爆气瓶、废液桶等；</w:t>
            </w:r>
            <w:r>
              <w:rPr>
                <w:rFonts w:eastAsia="仿宋"/>
                <w:kern w:val="0"/>
                <w:szCs w:val="21"/>
              </w:rPr>
              <w:t>配电箱的金属箱体应与箱内保护零线或保护地线可靠连接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各二级院、后勤处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7.1.2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给水、排水系统布置合理，运行正常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（1</w:t>
            </w:r>
            <w:r>
              <w:rPr>
                <w:rFonts w:eastAsia="仿宋"/>
                <w:kern w:val="0"/>
                <w:szCs w:val="21"/>
              </w:rPr>
              <w:t>02</w:t>
            </w:r>
            <w:r>
              <w:rPr>
                <w:rFonts w:hint="eastAsia" w:eastAsia="仿宋"/>
                <w:kern w:val="0"/>
                <w:szCs w:val="21"/>
              </w:rPr>
              <w:t>）</w:t>
            </w:r>
            <w:r>
              <w:rPr>
                <w:rFonts w:eastAsia="仿宋"/>
                <w:kern w:val="0"/>
                <w:szCs w:val="21"/>
              </w:rPr>
              <w:t>水槽、地漏及下水道畅通，水龙头、上下水管无破损；</w:t>
            </w:r>
          </w:p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（1</w:t>
            </w:r>
            <w:r>
              <w:rPr>
                <w:rFonts w:eastAsia="仿宋"/>
                <w:kern w:val="0"/>
                <w:szCs w:val="21"/>
              </w:rPr>
              <w:t>03</w:t>
            </w:r>
            <w:r>
              <w:rPr>
                <w:rFonts w:hint="eastAsia" w:eastAsia="仿宋"/>
                <w:kern w:val="0"/>
                <w:szCs w:val="21"/>
              </w:rPr>
              <w:t>）</w:t>
            </w:r>
            <w:r>
              <w:rPr>
                <w:rFonts w:eastAsia="仿宋"/>
                <w:kern w:val="0"/>
                <w:szCs w:val="21"/>
              </w:rPr>
              <w:t>各类连接管无老化破损（特别是冷却冷凝系统的橡胶管接口处）；</w:t>
            </w:r>
          </w:p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（1</w:t>
            </w:r>
            <w:r>
              <w:rPr>
                <w:rFonts w:eastAsia="仿宋"/>
                <w:kern w:val="0"/>
                <w:szCs w:val="21"/>
              </w:rPr>
              <w:t>04</w:t>
            </w:r>
            <w:r>
              <w:rPr>
                <w:rFonts w:hint="eastAsia" w:eastAsia="仿宋"/>
                <w:kern w:val="0"/>
                <w:szCs w:val="21"/>
              </w:rPr>
              <w:t>）</w:t>
            </w:r>
            <w:r>
              <w:rPr>
                <w:rFonts w:eastAsia="仿宋"/>
                <w:kern w:val="0"/>
                <w:szCs w:val="21"/>
              </w:rPr>
              <w:t>各楼层及实验室的各级水管总阀需有明显的标识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各二级院、后勤处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11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机电等安全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11.1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仪器设备常规管理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11.1.1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建立设备台账，设备上有资产标签，有明确的管理人员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（2</w:t>
            </w:r>
            <w:r>
              <w:rPr>
                <w:rFonts w:eastAsia="仿宋"/>
                <w:kern w:val="0"/>
                <w:szCs w:val="21"/>
              </w:rPr>
              <w:t>33</w:t>
            </w:r>
            <w:r>
              <w:rPr>
                <w:rFonts w:hint="eastAsia" w:eastAsia="仿宋"/>
                <w:kern w:val="0"/>
                <w:szCs w:val="21"/>
              </w:rPr>
              <w:t>）</w:t>
            </w:r>
            <w:r>
              <w:rPr>
                <w:rFonts w:eastAsia="仿宋"/>
                <w:kern w:val="0"/>
                <w:szCs w:val="21"/>
              </w:rPr>
              <w:t>查看电子或纸质台账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  <w:lang w:eastAsia="zh-CN"/>
              </w:rPr>
              <w:t>数字信息工作处</w:t>
            </w:r>
            <w:r>
              <w:rPr>
                <w:rFonts w:hint="eastAsia" w:eastAsia="仿宋"/>
                <w:kern w:val="0"/>
                <w:szCs w:val="21"/>
              </w:rPr>
              <w:t>、后勤处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11.1.2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大型、特种设备的使用需符合相关规定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（2</w:t>
            </w:r>
            <w:r>
              <w:rPr>
                <w:rFonts w:eastAsia="仿宋"/>
                <w:kern w:val="0"/>
                <w:szCs w:val="21"/>
              </w:rPr>
              <w:t>34</w:t>
            </w:r>
            <w:r>
              <w:rPr>
                <w:rFonts w:hint="eastAsia" w:eastAsia="仿宋"/>
                <w:kern w:val="0"/>
                <w:szCs w:val="21"/>
              </w:rPr>
              <w:t>）</w:t>
            </w:r>
            <w:r>
              <w:rPr>
                <w:rFonts w:eastAsia="仿宋"/>
                <w:kern w:val="0"/>
                <w:szCs w:val="21"/>
              </w:rPr>
              <w:t>大型仪器设备、高功率的设备与电路容量相匹配，有设备运行维护的记录，有安全操作规程或注意事项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hint="eastAsia" w:eastAsia="仿宋"/>
                <w:bCs/>
                <w:kern w:val="0"/>
                <w:szCs w:val="21"/>
              </w:rPr>
              <w:t>————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11.1.3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仪器设备的接地和用电符合相关要求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（2</w:t>
            </w:r>
            <w:r>
              <w:rPr>
                <w:rFonts w:eastAsia="仿宋"/>
                <w:szCs w:val="21"/>
              </w:rPr>
              <w:t>35</w:t>
            </w:r>
            <w:r>
              <w:rPr>
                <w:rFonts w:hint="eastAsia" w:eastAsia="仿宋"/>
                <w:szCs w:val="21"/>
              </w:rPr>
              <w:t>）</w:t>
            </w:r>
            <w:r>
              <w:rPr>
                <w:rFonts w:eastAsia="仿宋"/>
                <w:szCs w:val="21"/>
              </w:rPr>
              <w:t>仪器设备接地系统应按规范要求，采用铜质材料，接地电阻不高于0.5欧；</w:t>
            </w:r>
          </w:p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szCs w:val="21"/>
              </w:rPr>
              <w:t>（2</w:t>
            </w:r>
            <w:r>
              <w:rPr>
                <w:rFonts w:eastAsia="仿宋"/>
                <w:szCs w:val="21"/>
              </w:rPr>
              <w:t>36</w:t>
            </w:r>
            <w:r>
              <w:rPr>
                <w:rFonts w:hint="eastAsia" w:eastAsia="仿宋"/>
                <w:szCs w:val="21"/>
              </w:rPr>
              <w:t>）</w:t>
            </w:r>
            <w:r>
              <w:rPr>
                <w:rFonts w:eastAsia="仿宋"/>
                <w:szCs w:val="21"/>
              </w:rPr>
              <w:t>电脑、空调、电加热器等不随意开机过夜</w:t>
            </w:r>
            <w:r>
              <w:rPr>
                <w:rFonts w:hint="eastAsia" w:eastAsia="仿宋"/>
                <w:szCs w:val="21"/>
              </w:rPr>
              <w:t>。</w:t>
            </w:r>
            <w:r>
              <w:rPr>
                <w:rFonts w:eastAsia="仿宋"/>
                <w:kern w:val="0"/>
                <w:szCs w:val="21"/>
              </w:rPr>
              <w:t>对于不能断电的特殊仪器设备，采取必要的防护措施（如双路供电、不间断电源、监控报警等）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eastAsia="仿宋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eastAsia="仿宋"/>
                <w:kern w:val="0"/>
                <w:szCs w:val="21"/>
                <w:lang w:eastAsia="zh-CN"/>
              </w:rPr>
              <w:t>数字信息工作处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11.1.4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特殊设备应配备相应安全防护措施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（2</w:t>
            </w:r>
            <w:r>
              <w:rPr>
                <w:rFonts w:eastAsia="仿宋"/>
                <w:kern w:val="0"/>
                <w:szCs w:val="21"/>
              </w:rPr>
              <w:t>37</w:t>
            </w:r>
            <w:r>
              <w:rPr>
                <w:rFonts w:hint="eastAsia" w:eastAsia="仿宋"/>
                <w:kern w:val="0"/>
                <w:szCs w:val="21"/>
              </w:rPr>
              <w:t>）</w:t>
            </w:r>
            <w:r>
              <w:rPr>
                <w:rFonts w:eastAsia="仿宋"/>
                <w:kern w:val="0"/>
                <w:szCs w:val="21"/>
              </w:rPr>
              <w:t>关注高温、高压、高速运动、电磁辐射等特殊设备，对使用者有培训要求，有安全警示标识和</w:t>
            </w:r>
            <w:r>
              <w:rPr>
                <w:rFonts w:eastAsia="仿宋"/>
                <w:szCs w:val="21"/>
              </w:rPr>
              <w:t>安全警示线（黄色），设备安全防护措施完好</w:t>
            </w:r>
            <w:r>
              <w:rPr>
                <w:rFonts w:hint="eastAsia" w:eastAsia="仿宋"/>
                <w:szCs w:val="21"/>
              </w:rPr>
              <w:t>；</w:t>
            </w:r>
          </w:p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hint="eastAsia" w:eastAsia="仿宋"/>
                <w:szCs w:val="21"/>
              </w:rPr>
              <w:t>（2</w:t>
            </w:r>
            <w:r>
              <w:rPr>
                <w:rFonts w:eastAsia="仿宋"/>
                <w:szCs w:val="21"/>
              </w:rPr>
              <w:t>38</w:t>
            </w:r>
            <w:r>
              <w:rPr>
                <w:rFonts w:hint="eastAsia" w:eastAsia="仿宋"/>
                <w:szCs w:val="21"/>
              </w:rPr>
              <w:t>）</w:t>
            </w:r>
            <w:r>
              <w:rPr>
                <w:rFonts w:eastAsia="仿宋"/>
                <w:kern w:val="0"/>
                <w:szCs w:val="21"/>
              </w:rPr>
              <w:t>自研自制设备，须充分考虑安全系数，并有安全防护措施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hint="eastAsia" w:eastAsia="仿宋"/>
                <w:bCs/>
                <w:kern w:val="0"/>
                <w:szCs w:val="21"/>
              </w:rPr>
              <w:t>————</w:t>
            </w:r>
          </w:p>
        </w:tc>
      </w:tr>
    </w:tbl>
    <w:p>
      <w:pPr>
        <w:adjustRightInd w:val="0"/>
        <w:snapToGrid w:val="0"/>
        <w:spacing w:before="156" w:beforeLines="50"/>
        <w:rPr>
          <w:rFonts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077" w:right="1418" w:bottom="964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文鼎大标宋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>
    <w:pPr>
      <w:pStyle w:val="1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xZGRlNmY1ZDk5NDhjNWVhY2JhNDY0NzYwOGVlMjAifQ=="/>
  </w:docVars>
  <w:rsids>
    <w:rsidRoot w:val="001040F3"/>
    <w:rsid w:val="0000096B"/>
    <w:rsid w:val="00000F53"/>
    <w:rsid w:val="00000FA6"/>
    <w:rsid w:val="00001131"/>
    <w:rsid w:val="000016CE"/>
    <w:rsid w:val="00001890"/>
    <w:rsid w:val="00001B5F"/>
    <w:rsid w:val="000034C6"/>
    <w:rsid w:val="000038DB"/>
    <w:rsid w:val="00005E28"/>
    <w:rsid w:val="000061AE"/>
    <w:rsid w:val="0000690C"/>
    <w:rsid w:val="00007957"/>
    <w:rsid w:val="00012096"/>
    <w:rsid w:val="00012558"/>
    <w:rsid w:val="0001270F"/>
    <w:rsid w:val="00014177"/>
    <w:rsid w:val="00016CC4"/>
    <w:rsid w:val="000178F5"/>
    <w:rsid w:val="00017B97"/>
    <w:rsid w:val="00020325"/>
    <w:rsid w:val="00021729"/>
    <w:rsid w:val="000225B1"/>
    <w:rsid w:val="00025D3E"/>
    <w:rsid w:val="00027CE8"/>
    <w:rsid w:val="00032348"/>
    <w:rsid w:val="000338EE"/>
    <w:rsid w:val="00033DED"/>
    <w:rsid w:val="000344B2"/>
    <w:rsid w:val="000349F6"/>
    <w:rsid w:val="00035A9B"/>
    <w:rsid w:val="00036149"/>
    <w:rsid w:val="00037567"/>
    <w:rsid w:val="00040017"/>
    <w:rsid w:val="0004022D"/>
    <w:rsid w:val="00041761"/>
    <w:rsid w:val="00045838"/>
    <w:rsid w:val="00045948"/>
    <w:rsid w:val="00045AFE"/>
    <w:rsid w:val="000500EB"/>
    <w:rsid w:val="00050A3F"/>
    <w:rsid w:val="000517F1"/>
    <w:rsid w:val="000534B0"/>
    <w:rsid w:val="000539E4"/>
    <w:rsid w:val="00054FE8"/>
    <w:rsid w:val="0005502C"/>
    <w:rsid w:val="000561EB"/>
    <w:rsid w:val="000603C4"/>
    <w:rsid w:val="00061589"/>
    <w:rsid w:val="000622E7"/>
    <w:rsid w:val="0006294E"/>
    <w:rsid w:val="00062B6A"/>
    <w:rsid w:val="000631C4"/>
    <w:rsid w:val="00063601"/>
    <w:rsid w:val="00064691"/>
    <w:rsid w:val="00064B2A"/>
    <w:rsid w:val="00064D61"/>
    <w:rsid w:val="00065355"/>
    <w:rsid w:val="000662B9"/>
    <w:rsid w:val="00067A83"/>
    <w:rsid w:val="0007264E"/>
    <w:rsid w:val="000730A7"/>
    <w:rsid w:val="000740FE"/>
    <w:rsid w:val="00074118"/>
    <w:rsid w:val="00075121"/>
    <w:rsid w:val="000758AC"/>
    <w:rsid w:val="00077C5B"/>
    <w:rsid w:val="000841ED"/>
    <w:rsid w:val="00085554"/>
    <w:rsid w:val="00085646"/>
    <w:rsid w:val="00085E6C"/>
    <w:rsid w:val="000862FF"/>
    <w:rsid w:val="00087332"/>
    <w:rsid w:val="0009012A"/>
    <w:rsid w:val="00090D7D"/>
    <w:rsid w:val="000927AE"/>
    <w:rsid w:val="00094034"/>
    <w:rsid w:val="0009613B"/>
    <w:rsid w:val="0009716A"/>
    <w:rsid w:val="00097205"/>
    <w:rsid w:val="000A2040"/>
    <w:rsid w:val="000A3CF6"/>
    <w:rsid w:val="000A4456"/>
    <w:rsid w:val="000A4F36"/>
    <w:rsid w:val="000A7A7A"/>
    <w:rsid w:val="000B02CC"/>
    <w:rsid w:val="000B1A65"/>
    <w:rsid w:val="000B1EB0"/>
    <w:rsid w:val="000B2614"/>
    <w:rsid w:val="000B340F"/>
    <w:rsid w:val="000B3CC6"/>
    <w:rsid w:val="000B3E2E"/>
    <w:rsid w:val="000B4F55"/>
    <w:rsid w:val="000B58F2"/>
    <w:rsid w:val="000B60EE"/>
    <w:rsid w:val="000B6369"/>
    <w:rsid w:val="000B6445"/>
    <w:rsid w:val="000B6BC0"/>
    <w:rsid w:val="000B6E5F"/>
    <w:rsid w:val="000B71E7"/>
    <w:rsid w:val="000C0F04"/>
    <w:rsid w:val="000C4AF4"/>
    <w:rsid w:val="000C52A4"/>
    <w:rsid w:val="000C62A8"/>
    <w:rsid w:val="000C6456"/>
    <w:rsid w:val="000C70C0"/>
    <w:rsid w:val="000C7BC8"/>
    <w:rsid w:val="000D0C65"/>
    <w:rsid w:val="000D1D39"/>
    <w:rsid w:val="000D40D9"/>
    <w:rsid w:val="000D6F10"/>
    <w:rsid w:val="000D7D16"/>
    <w:rsid w:val="000E030A"/>
    <w:rsid w:val="000E17CE"/>
    <w:rsid w:val="000E1AAB"/>
    <w:rsid w:val="000E624C"/>
    <w:rsid w:val="000E6B3A"/>
    <w:rsid w:val="000E6E22"/>
    <w:rsid w:val="000F2192"/>
    <w:rsid w:val="000F23FC"/>
    <w:rsid w:val="000F26AC"/>
    <w:rsid w:val="000F33FC"/>
    <w:rsid w:val="000F3BF9"/>
    <w:rsid w:val="000F3E6D"/>
    <w:rsid w:val="000F55F2"/>
    <w:rsid w:val="000F5D66"/>
    <w:rsid w:val="000F71A8"/>
    <w:rsid w:val="001008AD"/>
    <w:rsid w:val="00100E66"/>
    <w:rsid w:val="001013B9"/>
    <w:rsid w:val="0010152B"/>
    <w:rsid w:val="00102F64"/>
    <w:rsid w:val="001040F3"/>
    <w:rsid w:val="00105938"/>
    <w:rsid w:val="00107176"/>
    <w:rsid w:val="00107337"/>
    <w:rsid w:val="001073B8"/>
    <w:rsid w:val="00107532"/>
    <w:rsid w:val="00107F92"/>
    <w:rsid w:val="001112B5"/>
    <w:rsid w:val="00111859"/>
    <w:rsid w:val="001119FB"/>
    <w:rsid w:val="00111AA5"/>
    <w:rsid w:val="00113C6B"/>
    <w:rsid w:val="00114A79"/>
    <w:rsid w:val="00115E3C"/>
    <w:rsid w:val="00117113"/>
    <w:rsid w:val="00117E7E"/>
    <w:rsid w:val="00120B03"/>
    <w:rsid w:val="00120D87"/>
    <w:rsid w:val="00120EAE"/>
    <w:rsid w:val="00120EFB"/>
    <w:rsid w:val="00121081"/>
    <w:rsid w:val="0012236F"/>
    <w:rsid w:val="00122754"/>
    <w:rsid w:val="00122820"/>
    <w:rsid w:val="0012290E"/>
    <w:rsid w:val="0012298A"/>
    <w:rsid w:val="00123622"/>
    <w:rsid w:val="001241E5"/>
    <w:rsid w:val="00124E9A"/>
    <w:rsid w:val="00125C51"/>
    <w:rsid w:val="00125E2C"/>
    <w:rsid w:val="00125E66"/>
    <w:rsid w:val="00126CE4"/>
    <w:rsid w:val="0012755C"/>
    <w:rsid w:val="00131CE5"/>
    <w:rsid w:val="00132CA5"/>
    <w:rsid w:val="001334D8"/>
    <w:rsid w:val="00135444"/>
    <w:rsid w:val="00135DBD"/>
    <w:rsid w:val="0013645C"/>
    <w:rsid w:val="001402F3"/>
    <w:rsid w:val="00142F28"/>
    <w:rsid w:val="00142F90"/>
    <w:rsid w:val="00143F64"/>
    <w:rsid w:val="001473EB"/>
    <w:rsid w:val="001507F7"/>
    <w:rsid w:val="00150BB5"/>
    <w:rsid w:val="00150D34"/>
    <w:rsid w:val="001517D4"/>
    <w:rsid w:val="00152021"/>
    <w:rsid w:val="0015410B"/>
    <w:rsid w:val="0015434E"/>
    <w:rsid w:val="001545EA"/>
    <w:rsid w:val="00154F77"/>
    <w:rsid w:val="0015570F"/>
    <w:rsid w:val="00155B14"/>
    <w:rsid w:val="001563F6"/>
    <w:rsid w:val="001571CD"/>
    <w:rsid w:val="00157D28"/>
    <w:rsid w:val="001601BC"/>
    <w:rsid w:val="001606A2"/>
    <w:rsid w:val="001611F7"/>
    <w:rsid w:val="001625B1"/>
    <w:rsid w:val="001627DB"/>
    <w:rsid w:val="00163FE8"/>
    <w:rsid w:val="00164ED2"/>
    <w:rsid w:val="00166F15"/>
    <w:rsid w:val="00170665"/>
    <w:rsid w:val="00171905"/>
    <w:rsid w:val="0017248E"/>
    <w:rsid w:val="001737D6"/>
    <w:rsid w:val="00173F8C"/>
    <w:rsid w:val="001748A0"/>
    <w:rsid w:val="00175BFD"/>
    <w:rsid w:val="00175F72"/>
    <w:rsid w:val="00177A28"/>
    <w:rsid w:val="00177A81"/>
    <w:rsid w:val="0018014D"/>
    <w:rsid w:val="001805A6"/>
    <w:rsid w:val="00180E01"/>
    <w:rsid w:val="001829C0"/>
    <w:rsid w:val="00187AC7"/>
    <w:rsid w:val="00187B34"/>
    <w:rsid w:val="00190122"/>
    <w:rsid w:val="001902EC"/>
    <w:rsid w:val="00190F17"/>
    <w:rsid w:val="00190FE8"/>
    <w:rsid w:val="001915CE"/>
    <w:rsid w:val="001938A3"/>
    <w:rsid w:val="00195F30"/>
    <w:rsid w:val="00196097"/>
    <w:rsid w:val="00196EFB"/>
    <w:rsid w:val="00197334"/>
    <w:rsid w:val="001979A5"/>
    <w:rsid w:val="001A2900"/>
    <w:rsid w:val="001A3AAC"/>
    <w:rsid w:val="001A4531"/>
    <w:rsid w:val="001A4DD0"/>
    <w:rsid w:val="001A70CA"/>
    <w:rsid w:val="001A7A73"/>
    <w:rsid w:val="001B00C2"/>
    <w:rsid w:val="001B0B26"/>
    <w:rsid w:val="001B1667"/>
    <w:rsid w:val="001B16DB"/>
    <w:rsid w:val="001B1CF6"/>
    <w:rsid w:val="001B23B2"/>
    <w:rsid w:val="001B2652"/>
    <w:rsid w:val="001B2B5D"/>
    <w:rsid w:val="001B4744"/>
    <w:rsid w:val="001B6C41"/>
    <w:rsid w:val="001B7928"/>
    <w:rsid w:val="001C0804"/>
    <w:rsid w:val="001C0BE4"/>
    <w:rsid w:val="001C40FD"/>
    <w:rsid w:val="001C631D"/>
    <w:rsid w:val="001C6397"/>
    <w:rsid w:val="001C67CC"/>
    <w:rsid w:val="001C6AB0"/>
    <w:rsid w:val="001C70FA"/>
    <w:rsid w:val="001C75E4"/>
    <w:rsid w:val="001D001C"/>
    <w:rsid w:val="001D0302"/>
    <w:rsid w:val="001D085A"/>
    <w:rsid w:val="001D115C"/>
    <w:rsid w:val="001D1664"/>
    <w:rsid w:val="001D1733"/>
    <w:rsid w:val="001D232E"/>
    <w:rsid w:val="001D2C13"/>
    <w:rsid w:val="001D302D"/>
    <w:rsid w:val="001D46C5"/>
    <w:rsid w:val="001D7DE8"/>
    <w:rsid w:val="001E030F"/>
    <w:rsid w:val="001E15E2"/>
    <w:rsid w:val="001E29CE"/>
    <w:rsid w:val="001E2D52"/>
    <w:rsid w:val="001E2F20"/>
    <w:rsid w:val="001E3222"/>
    <w:rsid w:val="001E4D98"/>
    <w:rsid w:val="001E5D10"/>
    <w:rsid w:val="001E5FBD"/>
    <w:rsid w:val="001E69FE"/>
    <w:rsid w:val="001E6AF6"/>
    <w:rsid w:val="001E6BEB"/>
    <w:rsid w:val="001E72FC"/>
    <w:rsid w:val="001E7516"/>
    <w:rsid w:val="001E7EDD"/>
    <w:rsid w:val="001F1DB9"/>
    <w:rsid w:val="001F203B"/>
    <w:rsid w:val="001F2916"/>
    <w:rsid w:val="001F3562"/>
    <w:rsid w:val="001F5CE4"/>
    <w:rsid w:val="001F73CE"/>
    <w:rsid w:val="001F752B"/>
    <w:rsid w:val="001F7EA7"/>
    <w:rsid w:val="00200A3D"/>
    <w:rsid w:val="00200C3C"/>
    <w:rsid w:val="00201399"/>
    <w:rsid w:val="0020295B"/>
    <w:rsid w:val="00202F43"/>
    <w:rsid w:val="0020357E"/>
    <w:rsid w:val="00204B76"/>
    <w:rsid w:val="002060B3"/>
    <w:rsid w:val="00210B50"/>
    <w:rsid w:val="00212E79"/>
    <w:rsid w:val="002141F2"/>
    <w:rsid w:val="002146ED"/>
    <w:rsid w:val="00214CA3"/>
    <w:rsid w:val="00216729"/>
    <w:rsid w:val="00222AE3"/>
    <w:rsid w:val="002249E7"/>
    <w:rsid w:val="00224CAF"/>
    <w:rsid w:val="002251BC"/>
    <w:rsid w:val="00225846"/>
    <w:rsid w:val="00225B7D"/>
    <w:rsid w:val="00225F53"/>
    <w:rsid w:val="00230750"/>
    <w:rsid w:val="00232026"/>
    <w:rsid w:val="0023309C"/>
    <w:rsid w:val="002336B8"/>
    <w:rsid w:val="00236EE4"/>
    <w:rsid w:val="0023790C"/>
    <w:rsid w:val="00237EBE"/>
    <w:rsid w:val="002401F5"/>
    <w:rsid w:val="00241712"/>
    <w:rsid w:val="00241A97"/>
    <w:rsid w:val="00242483"/>
    <w:rsid w:val="00242B32"/>
    <w:rsid w:val="00244389"/>
    <w:rsid w:val="00245D34"/>
    <w:rsid w:val="00250BDC"/>
    <w:rsid w:val="00251B41"/>
    <w:rsid w:val="002542FD"/>
    <w:rsid w:val="002543F0"/>
    <w:rsid w:val="00255794"/>
    <w:rsid w:val="00255C8C"/>
    <w:rsid w:val="00255D52"/>
    <w:rsid w:val="00260336"/>
    <w:rsid w:val="00260852"/>
    <w:rsid w:val="00261941"/>
    <w:rsid w:val="00262577"/>
    <w:rsid w:val="00263347"/>
    <w:rsid w:val="0026365C"/>
    <w:rsid w:val="002655DC"/>
    <w:rsid w:val="00266A2B"/>
    <w:rsid w:val="00267503"/>
    <w:rsid w:val="002709C1"/>
    <w:rsid w:val="002717FD"/>
    <w:rsid w:val="00271D7A"/>
    <w:rsid w:val="002722D6"/>
    <w:rsid w:val="00275E3C"/>
    <w:rsid w:val="00275F18"/>
    <w:rsid w:val="00276BD3"/>
    <w:rsid w:val="00276E06"/>
    <w:rsid w:val="00277FBA"/>
    <w:rsid w:val="00281C08"/>
    <w:rsid w:val="0028289C"/>
    <w:rsid w:val="00282D6E"/>
    <w:rsid w:val="00283339"/>
    <w:rsid w:val="0028397F"/>
    <w:rsid w:val="002843CA"/>
    <w:rsid w:val="0028528B"/>
    <w:rsid w:val="00285831"/>
    <w:rsid w:val="002876BC"/>
    <w:rsid w:val="00290798"/>
    <w:rsid w:val="002914AD"/>
    <w:rsid w:val="00291F5A"/>
    <w:rsid w:val="00294CFE"/>
    <w:rsid w:val="00296302"/>
    <w:rsid w:val="00296791"/>
    <w:rsid w:val="00297386"/>
    <w:rsid w:val="002A0679"/>
    <w:rsid w:val="002A1F9C"/>
    <w:rsid w:val="002A2A2E"/>
    <w:rsid w:val="002A35AC"/>
    <w:rsid w:val="002A68D5"/>
    <w:rsid w:val="002A6CBD"/>
    <w:rsid w:val="002A79BC"/>
    <w:rsid w:val="002B15B1"/>
    <w:rsid w:val="002B2B11"/>
    <w:rsid w:val="002B3ACD"/>
    <w:rsid w:val="002B5ED3"/>
    <w:rsid w:val="002B60D7"/>
    <w:rsid w:val="002B61FB"/>
    <w:rsid w:val="002B6EB3"/>
    <w:rsid w:val="002C0048"/>
    <w:rsid w:val="002C1374"/>
    <w:rsid w:val="002C13EF"/>
    <w:rsid w:val="002C17E5"/>
    <w:rsid w:val="002C1E7F"/>
    <w:rsid w:val="002C350E"/>
    <w:rsid w:val="002C3C60"/>
    <w:rsid w:val="002C3D44"/>
    <w:rsid w:val="002C3FB7"/>
    <w:rsid w:val="002C4529"/>
    <w:rsid w:val="002C57A9"/>
    <w:rsid w:val="002C586F"/>
    <w:rsid w:val="002C5967"/>
    <w:rsid w:val="002C6B5B"/>
    <w:rsid w:val="002C7C8E"/>
    <w:rsid w:val="002D15A1"/>
    <w:rsid w:val="002D2063"/>
    <w:rsid w:val="002D20B1"/>
    <w:rsid w:val="002D216D"/>
    <w:rsid w:val="002D22B6"/>
    <w:rsid w:val="002D2C5E"/>
    <w:rsid w:val="002D31C1"/>
    <w:rsid w:val="002D38F5"/>
    <w:rsid w:val="002D5074"/>
    <w:rsid w:val="002D5FD7"/>
    <w:rsid w:val="002D76D9"/>
    <w:rsid w:val="002E00FB"/>
    <w:rsid w:val="002E2D3E"/>
    <w:rsid w:val="002E3485"/>
    <w:rsid w:val="002E3E8F"/>
    <w:rsid w:val="002E4C01"/>
    <w:rsid w:val="002E55BE"/>
    <w:rsid w:val="002F09FF"/>
    <w:rsid w:val="002F1086"/>
    <w:rsid w:val="002F2441"/>
    <w:rsid w:val="002F2870"/>
    <w:rsid w:val="002F332F"/>
    <w:rsid w:val="002F33BB"/>
    <w:rsid w:val="002F422D"/>
    <w:rsid w:val="002F4283"/>
    <w:rsid w:val="002F46C6"/>
    <w:rsid w:val="002F60AB"/>
    <w:rsid w:val="002F60F0"/>
    <w:rsid w:val="002F63D6"/>
    <w:rsid w:val="002F6EA9"/>
    <w:rsid w:val="002F7375"/>
    <w:rsid w:val="003012E3"/>
    <w:rsid w:val="00302310"/>
    <w:rsid w:val="003044AB"/>
    <w:rsid w:val="00310ABE"/>
    <w:rsid w:val="00314D7C"/>
    <w:rsid w:val="003168D9"/>
    <w:rsid w:val="00316A1C"/>
    <w:rsid w:val="00316C1B"/>
    <w:rsid w:val="003171FB"/>
    <w:rsid w:val="00317384"/>
    <w:rsid w:val="00317716"/>
    <w:rsid w:val="00317D4F"/>
    <w:rsid w:val="00320EF6"/>
    <w:rsid w:val="003213CE"/>
    <w:rsid w:val="0032145F"/>
    <w:rsid w:val="003219B8"/>
    <w:rsid w:val="00322869"/>
    <w:rsid w:val="00323D6E"/>
    <w:rsid w:val="0032479A"/>
    <w:rsid w:val="0032692B"/>
    <w:rsid w:val="003269B3"/>
    <w:rsid w:val="00331039"/>
    <w:rsid w:val="003316E4"/>
    <w:rsid w:val="00331BCE"/>
    <w:rsid w:val="00332136"/>
    <w:rsid w:val="003322B2"/>
    <w:rsid w:val="00333A97"/>
    <w:rsid w:val="00342C08"/>
    <w:rsid w:val="00342FE5"/>
    <w:rsid w:val="0034383E"/>
    <w:rsid w:val="003438AF"/>
    <w:rsid w:val="00343CF3"/>
    <w:rsid w:val="00344710"/>
    <w:rsid w:val="003454BC"/>
    <w:rsid w:val="0034623A"/>
    <w:rsid w:val="00346950"/>
    <w:rsid w:val="00346F26"/>
    <w:rsid w:val="00347602"/>
    <w:rsid w:val="00347D25"/>
    <w:rsid w:val="0035007D"/>
    <w:rsid w:val="00350256"/>
    <w:rsid w:val="00352334"/>
    <w:rsid w:val="00352B4F"/>
    <w:rsid w:val="00352D94"/>
    <w:rsid w:val="0035347A"/>
    <w:rsid w:val="003559A5"/>
    <w:rsid w:val="00357762"/>
    <w:rsid w:val="00357A1F"/>
    <w:rsid w:val="00362357"/>
    <w:rsid w:val="003630AC"/>
    <w:rsid w:val="0036517E"/>
    <w:rsid w:val="00365B6D"/>
    <w:rsid w:val="00366172"/>
    <w:rsid w:val="0036769E"/>
    <w:rsid w:val="003679EB"/>
    <w:rsid w:val="00367ADB"/>
    <w:rsid w:val="003732EA"/>
    <w:rsid w:val="00373C75"/>
    <w:rsid w:val="0037451F"/>
    <w:rsid w:val="00374E5E"/>
    <w:rsid w:val="003765A3"/>
    <w:rsid w:val="00376793"/>
    <w:rsid w:val="00376FAB"/>
    <w:rsid w:val="00376FDA"/>
    <w:rsid w:val="003775DB"/>
    <w:rsid w:val="0037763C"/>
    <w:rsid w:val="003776B4"/>
    <w:rsid w:val="00377F67"/>
    <w:rsid w:val="00380A30"/>
    <w:rsid w:val="00381C42"/>
    <w:rsid w:val="00381E9D"/>
    <w:rsid w:val="00382021"/>
    <w:rsid w:val="003843B1"/>
    <w:rsid w:val="00384A4D"/>
    <w:rsid w:val="00384F21"/>
    <w:rsid w:val="00387213"/>
    <w:rsid w:val="00387D20"/>
    <w:rsid w:val="003910BA"/>
    <w:rsid w:val="00391CDC"/>
    <w:rsid w:val="003928D6"/>
    <w:rsid w:val="0039330B"/>
    <w:rsid w:val="00394BF6"/>
    <w:rsid w:val="003968EA"/>
    <w:rsid w:val="003979AA"/>
    <w:rsid w:val="003A07B3"/>
    <w:rsid w:val="003A108E"/>
    <w:rsid w:val="003A16FA"/>
    <w:rsid w:val="003A1BC1"/>
    <w:rsid w:val="003A30A2"/>
    <w:rsid w:val="003A363C"/>
    <w:rsid w:val="003A4EDD"/>
    <w:rsid w:val="003A514A"/>
    <w:rsid w:val="003A6E6B"/>
    <w:rsid w:val="003A7581"/>
    <w:rsid w:val="003A7A18"/>
    <w:rsid w:val="003A7E61"/>
    <w:rsid w:val="003B1481"/>
    <w:rsid w:val="003B319C"/>
    <w:rsid w:val="003B6FBC"/>
    <w:rsid w:val="003B7D8E"/>
    <w:rsid w:val="003C039B"/>
    <w:rsid w:val="003C22F8"/>
    <w:rsid w:val="003C2A42"/>
    <w:rsid w:val="003C44F0"/>
    <w:rsid w:val="003C6ABB"/>
    <w:rsid w:val="003C7F9A"/>
    <w:rsid w:val="003D0203"/>
    <w:rsid w:val="003D0D4F"/>
    <w:rsid w:val="003D1223"/>
    <w:rsid w:val="003D175F"/>
    <w:rsid w:val="003D3C99"/>
    <w:rsid w:val="003D43C4"/>
    <w:rsid w:val="003D509D"/>
    <w:rsid w:val="003D5573"/>
    <w:rsid w:val="003D6177"/>
    <w:rsid w:val="003E49C0"/>
    <w:rsid w:val="003E5997"/>
    <w:rsid w:val="003E6F3F"/>
    <w:rsid w:val="003E78ED"/>
    <w:rsid w:val="003E7D34"/>
    <w:rsid w:val="003F0EB3"/>
    <w:rsid w:val="003F2694"/>
    <w:rsid w:val="003F3BD2"/>
    <w:rsid w:val="003F3C46"/>
    <w:rsid w:val="003F4D88"/>
    <w:rsid w:val="003F5BA3"/>
    <w:rsid w:val="003F74C2"/>
    <w:rsid w:val="003F7839"/>
    <w:rsid w:val="003F7E48"/>
    <w:rsid w:val="00401929"/>
    <w:rsid w:val="00402052"/>
    <w:rsid w:val="00405994"/>
    <w:rsid w:val="00405F10"/>
    <w:rsid w:val="004067F5"/>
    <w:rsid w:val="004069ED"/>
    <w:rsid w:val="004072B6"/>
    <w:rsid w:val="0040789F"/>
    <w:rsid w:val="00407B11"/>
    <w:rsid w:val="00410409"/>
    <w:rsid w:val="00410D5F"/>
    <w:rsid w:val="00411B39"/>
    <w:rsid w:val="00411FB9"/>
    <w:rsid w:val="004130BD"/>
    <w:rsid w:val="00414256"/>
    <w:rsid w:val="00414E69"/>
    <w:rsid w:val="004153D4"/>
    <w:rsid w:val="00415984"/>
    <w:rsid w:val="004203B0"/>
    <w:rsid w:val="00420F30"/>
    <w:rsid w:val="004215F3"/>
    <w:rsid w:val="00422037"/>
    <w:rsid w:val="0042277E"/>
    <w:rsid w:val="00422CFA"/>
    <w:rsid w:val="004231E5"/>
    <w:rsid w:val="0042371A"/>
    <w:rsid w:val="00424D9A"/>
    <w:rsid w:val="00425970"/>
    <w:rsid w:val="00425FFC"/>
    <w:rsid w:val="00426F57"/>
    <w:rsid w:val="00430447"/>
    <w:rsid w:val="00430528"/>
    <w:rsid w:val="00430F4D"/>
    <w:rsid w:val="004314AA"/>
    <w:rsid w:val="004315C0"/>
    <w:rsid w:val="0043248B"/>
    <w:rsid w:val="00432679"/>
    <w:rsid w:val="0043288E"/>
    <w:rsid w:val="00433840"/>
    <w:rsid w:val="00434010"/>
    <w:rsid w:val="0043456A"/>
    <w:rsid w:val="00434F96"/>
    <w:rsid w:val="004352BD"/>
    <w:rsid w:val="00435819"/>
    <w:rsid w:val="004365D6"/>
    <w:rsid w:val="0043661B"/>
    <w:rsid w:val="00436CAB"/>
    <w:rsid w:val="00440BF0"/>
    <w:rsid w:val="00441C91"/>
    <w:rsid w:val="00444DFA"/>
    <w:rsid w:val="00445C73"/>
    <w:rsid w:val="004474CC"/>
    <w:rsid w:val="00447C6A"/>
    <w:rsid w:val="00450E29"/>
    <w:rsid w:val="00451CBF"/>
    <w:rsid w:val="00453739"/>
    <w:rsid w:val="0045391A"/>
    <w:rsid w:val="00453D27"/>
    <w:rsid w:val="00456636"/>
    <w:rsid w:val="00460D2E"/>
    <w:rsid w:val="004612CD"/>
    <w:rsid w:val="00462221"/>
    <w:rsid w:val="00462734"/>
    <w:rsid w:val="00462EE4"/>
    <w:rsid w:val="004631EE"/>
    <w:rsid w:val="00464024"/>
    <w:rsid w:val="004644FD"/>
    <w:rsid w:val="004659C1"/>
    <w:rsid w:val="00466B8C"/>
    <w:rsid w:val="00466C97"/>
    <w:rsid w:val="00466EA6"/>
    <w:rsid w:val="00472034"/>
    <w:rsid w:val="00472D42"/>
    <w:rsid w:val="004735DF"/>
    <w:rsid w:val="0047428E"/>
    <w:rsid w:val="0047457E"/>
    <w:rsid w:val="004753DB"/>
    <w:rsid w:val="00475423"/>
    <w:rsid w:val="00477A12"/>
    <w:rsid w:val="004805DC"/>
    <w:rsid w:val="00481550"/>
    <w:rsid w:val="00482197"/>
    <w:rsid w:val="004826F7"/>
    <w:rsid w:val="00482F12"/>
    <w:rsid w:val="00486088"/>
    <w:rsid w:val="00486E81"/>
    <w:rsid w:val="00487029"/>
    <w:rsid w:val="004904F3"/>
    <w:rsid w:val="004927BE"/>
    <w:rsid w:val="00492BE2"/>
    <w:rsid w:val="00494721"/>
    <w:rsid w:val="00494FEE"/>
    <w:rsid w:val="0049526A"/>
    <w:rsid w:val="00495560"/>
    <w:rsid w:val="00496A2B"/>
    <w:rsid w:val="0049748F"/>
    <w:rsid w:val="00497983"/>
    <w:rsid w:val="004A0637"/>
    <w:rsid w:val="004A064E"/>
    <w:rsid w:val="004A088C"/>
    <w:rsid w:val="004A1AE7"/>
    <w:rsid w:val="004A2698"/>
    <w:rsid w:val="004A3692"/>
    <w:rsid w:val="004A60DD"/>
    <w:rsid w:val="004B0C53"/>
    <w:rsid w:val="004B0CEC"/>
    <w:rsid w:val="004B17E1"/>
    <w:rsid w:val="004B1AB7"/>
    <w:rsid w:val="004B2DB2"/>
    <w:rsid w:val="004B2F00"/>
    <w:rsid w:val="004B6578"/>
    <w:rsid w:val="004C0020"/>
    <w:rsid w:val="004C130A"/>
    <w:rsid w:val="004C18F5"/>
    <w:rsid w:val="004C1F34"/>
    <w:rsid w:val="004C4077"/>
    <w:rsid w:val="004C416E"/>
    <w:rsid w:val="004C42B6"/>
    <w:rsid w:val="004C4CBA"/>
    <w:rsid w:val="004C5E32"/>
    <w:rsid w:val="004C689D"/>
    <w:rsid w:val="004C7968"/>
    <w:rsid w:val="004D0122"/>
    <w:rsid w:val="004D17B5"/>
    <w:rsid w:val="004D198C"/>
    <w:rsid w:val="004D232E"/>
    <w:rsid w:val="004D4C5E"/>
    <w:rsid w:val="004D5BAD"/>
    <w:rsid w:val="004D617A"/>
    <w:rsid w:val="004D7784"/>
    <w:rsid w:val="004E041C"/>
    <w:rsid w:val="004E04BA"/>
    <w:rsid w:val="004E052F"/>
    <w:rsid w:val="004E0A78"/>
    <w:rsid w:val="004E140E"/>
    <w:rsid w:val="004E1721"/>
    <w:rsid w:val="004E44D4"/>
    <w:rsid w:val="004E53B0"/>
    <w:rsid w:val="004E5633"/>
    <w:rsid w:val="004E60DC"/>
    <w:rsid w:val="004E72C7"/>
    <w:rsid w:val="004F26D2"/>
    <w:rsid w:val="004F2A3D"/>
    <w:rsid w:val="004F36E1"/>
    <w:rsid w:val="004F54DE"/>
    <w:rsid w:val="004F5542"/>
    <w:rsid w:val="004F6182"/>
    <w:rsid w:val="004F62B5"/>
    <w:rsid w:val="004F64EF"/>
    <w:rsid w:val="004F6C52"/>
    <w:rsid w:val="005013CA"/>
    <w:rsid w:val="00502B0B"/>
    <w:rsid w:val="0050309E"/>
    <w:rsid w:val="00504084"/>
    <w:rsid w:val="00505314"/>
    <w:rsid w:val="00505451"/>
    <w:rsid w:val="005058D1"/>
    <w:rsid w:val="00505E5B"/>
    <w:rsid w:val="00506244"/>
    <w:rsid w:val="005068A0"/>
    <w:rsid w:val="005079EC"/>
    <w:rsid w:val="00507C82"/>
    <w:rsid w:val="00510BCA"/>
    <w:rsid w:val="00511DC0"/>
    <w:rsid w:val="00512B1A"/>
    <w:rsid w:val="00514C53"/>
    <w:rsid w:val="00515978"/>
    <w:rsid w:val="00516278"/>
    <w:rsid w:val="0051632E"/>
    <w:rsid w:val="00516799"/>
    <w:rsid w:val="00517D52"/>
    <w:rsid w:val="00520D98"/>
    <w:rsid w:val="0052251B"/>
    <w:rsid w:val="00522E5D"/>
    <w:rsid w:val="00522EFA"/>
    <w:rsid w:val="00523013"/>
    <w:rsid w:val="0052541B"/>
    <w:rsid w:val="00525796"/>
    <w:rsid w:val="005263F0"/>
    <w:rsid w:val="00526FCD"/>
    <w:rsid w:val="00527204"/>
    <w:rsid w:val="00527527"/>
    <w:rsid w:val="005275C5"/>
    <w:rsid w:val="0052796F"/>
    <w:rsid w:val="00530FBE"/>
    <w:rsid w:val="00531CAB"/>
    <w:rsid w:val="00533876"/>
    <w:rsid w:val="00534EB8"/>
    <w:rsid w:val="005361DE"/>
    <w:rsid w:val="00537B59"/>
    <w:rsid w:val="00537B6E"/>
    <w:rsid w:val="0054059E"/>
    <w:rsid w:val="00540C78"/>
    <w:rsid w:val="00541524"/>
    <w:rsid w:val="0054230F"/>
    <w:rsid w:val="00543880"/>
    <w:rsid w:val="005441D1"/>
    <w:rsid w:val="005442EB"/>
    <w:rsid w:val="00544BFC"/>
    <w:rsid w:val="0054527C"/>
    <w:rsid w:val="0054610B"/>
    <w:rsid w:val="005461A7"/>
    <w:rsid w:val="00546640"/>
    <w:rsid w:val="00547028"/>
    <w:rsid w:val="00547C81"/>
    <w:rsid w:val="00551005"/>
    <w:rsid w:val="00552930"/>
    <w:rsid w:val="005529D6"/>
    <w:rsid w:val="005544D2"/>
    <w:rsid w:val="0055589E"/>
    <w:rsid w:val="00557D10"/>
    <w:rsid w:val="00560AA0"/>
    <w:rsid w:val="00560D11"/>
    <w:rsid w:val="00560D49"/>
    <w:rsid w:val="00561117"/>
    <w:rsid w:val="005629F9"/>
    <w:rsid w:val="00562FB0"/>
    <w:rsid w:val="00564254"/>
    <w:rsid w:val="0056696B"/>
    <w:rsid w:val="005669D3"/>
    <w:rsid w:val="00570714"/>
    <w:rsid w:val="00570A32"/>
    <w:rsid w:val="005717D7"/>
    <w:rsid w:val="00571BF9"/>
    <w:rsid w:val="0057252B"/>
    <w:rsid w:val="005740F2"/>
    <w:rsid w:val="00574791"/>
    <w:rsid w:val="00574E5C"/>
    <w:rsid w:val="00575952"/>
    <w:rsid w:val="00576E90"/>
    <w:rsid w:val="00577230"/>
    <w:rsid w:val="00577DFD"/>
    <w:rsid w:val="00580FED"/>
    <w:rsid w:val="00581600"/>
    <w:rsid w:val="0058248B"/>
    <w:rsid w:val="00583D75"/>
    <w:rsid w:val="0058405E"/>
    <w:rsid w:val="00584886"/>
    <w:rsid w:val="0058656F"/>
    <w:rsid w:val="0059153C"/>
    <w:rsid w:val="0059221F"/>
    <w:rsid w:val="00592A21"/>
    <w:rsid w:val="00596975"/>
    <w:rsid w:val="00596BD1"/>
    <w:rsid w:val="0059799E"/>
    <w:rsid w:val="00597C01"/>
    <w:rsid w:val="005A0E14"/>
    <w:rsid w:val="005A0F66"/>
    <w:rsid w:val="005A1751"/>
    <w:rsid w:val="005A1B98"/>
    <w:rsid w:val="005A1DA3"/>
    <w:rsid w:val="005A2264"/>
    <w:rsid w:val="005A29E8"/>
    <w:rsid w:val="005A3692"/>
    <w:rsid w:val="005A50C3"/>
    <w:rsid w:val="005A5863"/>
    <w:rsid w:val="005A5FE9"/>
    <w:rsid w:val="005A6550"/>
    <w:rsid w:val="005A6D62"/>
    <w:rsid w:val="005A78E8"/>
    <w:rsid w:val="005B00CF"/>
    <w:rsid w:val="005B10E8"/>
    <w:rsid w:val="005B18DE"/>
    <w:rsid w:val="005B1CCD"/>
    <w:rsid w:val="005B4A77"/>
    <w:rsid w:val="005B4DD4"/>
    <w:rsid w:val="005B4F7D"/>
    <w:rsid w:val="005B6D7D"/>
    <w:rsid w:val="005C069D"/>
    <w:rsid w:val="005C084E"/>
    <w:rsid w:val="005C1A32"/>
    <w:rsid w:val="005C1C28"/>
    <w:rsid w:val="005C263D"/>
    <w:rsid w:val="005C3945"/>
    <w:rsid w:val="005C4C32"/>
    <w:rsid w:val="005C505C"/>
    <w:rsid w:val="005C79FC"/>
    <w:rsid w:val="005D0F32"/>
    <w:rsid w:val="005D1D68"/>
    <w:rsid w:val="005D3A48"/>
    <w:rsid w:val="005D3E53"/>
    <w:rsid w:val="005D47BC"/>
    <w:rsid w:val="005D70A6"/>
    <w:rsid w:val="005D73F4"/>
    <w:rsid w:val="005E4161"/>
    <w:rsid w:val="005E52F7"/>
    <w:rsid w:val="005E6842"/>
    <w:rsid w:val="005E68EB"/>
    <w:rsid w:val="005F14A8"/>
    <w:rsid w:val="005F1A8A"/>
    <w:rsid w:val="005F23A3"/>
    <w:rsid w:val="005F23FF"/>
    <w:rsid w:val="005F2AC5"/>
    <w:rsid w:val="005F315A"/>
    <w:rsid w:val="005F5A03"/>
    <w:rsid w:val="00600BF7"/>
    <w:rsid w:val="00601E84"/>
    <w:rsid w:val="006032C1"/>
    <w:rsid w:val="00603444"/>
    <w:rsid w:val="00605210"/>
    <w:rsid w:val="00605832"/>
    <w:rsid w:val="00607F9F"/>
    <w:rsid w:val="0061492C"/>
    <w:rsid w:val="00614AFB"/>
    <w:rsid w:val="00616A79"/>
    <w:rsid w:val="00616D0A"/>
    <w:rsid w:val="006205A4"/>
    <w:rsid w:val="00621458"/>
    <w:rsid w:val="00621ECA"/>
    <w:rsid w:val="0062355B"/>
    <w:rsid w:val="00626296"/>
    <w:rsid w:val="0062679F"/>
    <w:rsid w:val="00630176"/>
    <w:rsid w:val="00630DB7"/>
    <w:rsid w:val="006329A4"/>
    <w:rsid w:val="00632D65"/>
    <w:rsid w:val="00635A23"/>
    <w:rsid w:val="0063630F"/>
    <w:rsid w:val="00636965"/>
    <w:rsid w:val="006372C4"/>
    <w:rsid w:val="00641755"/>
    <w:rsid w:val="006429C6"/>
    <w:rsid w:val="00642AC8"/>
    <w:rsid w:val="006438F2"/>
    <w:rsid w:val="00644B8E"/>
    <w:rsid w:val="00645210"/>
    <w:rsid w:val="00645E46"/>
    <w:rsid w:val="006509D7"/>
    <w:rsid w:val="00651AD6"/>
    <w:rsid w:val="006522DF"/>
    <w:rsid w:val="00652BD9"/>
    <w:rsid w:val="00652D3B"/>
    <w:rsid w:val="0065423F"/>
    <w:rsid w:val="00655112"/>
    <w:rsid w:val="00655B75"/>
    <w:rsid w:val="006564F3"/>
    <w:rsid w:val="00656770"/>
    <w:rsid w:val="006574B9"/>
    <w:rsid w:val="00661249"/>
    <w:rsid w:val="006612F1"/>
    <w:rsid w:val="00661DCF"/>
    <w:rsid w:val="0066275A"/>
    <w:rsid w:val="00662BB0"/>
    <w:rsid w:val="0066307A"/>
    <w:rsid w:val="0066364C"/>
    <w:rsid w:val="00663847"/>
    <w:rsid w:val="006644F6"/>
    <w:rsid w:val="006646C2"/>
    <w:rsid w:val="006656D0"/>
    <w:rsid w:val="00666AD3"/>
    <w:rsid w:val="00666C6B"/>
    <w:rsid w:val="00667FE5"/>
    <w:rsid w:val="00670740"/>
    <w:rsid w:val="00671D93"/>
    <w:rsid w:val="00672A02"/>
    <w:rsid w:val="006800A8"/>
    <w:rsid w:val="006802B5"/>
    <w:rsid w:val="00681F52"/>
    <w:rsid w:val="006835AA"/>
    <w:rsid w:val="00683AC0"/>
    <w:rsid w:val="00685ED1"/>
    <w:rsid w:val="00685F7E"/>
    <w:rsid w:val="00691D4D"/>
    <w:rsid w:val="00692009"/>
    <w:rsid w:val="006924EB"/>
    <w:rsid w:val="00694CD2"/>
    <w:rsid w:val="006956BA"/>
    <w:rsid w:val="006957F9"/>
    <w:rsid w:val="006962B0"/>
    <w:rsid w:val="00697175"/>
    <w:rsid w:val="00697F20"/>
    <w:rsid w:val="006A16E4"/>
    <w:rsid w:val="006A3490"/>
    <w:rsid w:val="006A3E6D"/>
    <w:rsid w:val="006A48F3"/>
    <w:rsid w:val="006A744F"/>
    <w:rsid w:val="006B0647"/>
    <w:rsid w:val="006B0658"/>
    <w:rsid w:val="006B0B99"/>
    <w:rsid w:val="006B1530"/>
    <w:rsid w:val="006B1EDA"/>
    <w:rsid w:val="006B29D4"/>
    <w:rsid w:val="006B31CA"/>
    <w:rsid w:val="006B3950"/>
    <w:rsid w:val="006B511E"/>
    <w:rsid w:val="006B5D85"/>
    <w:rsid w:val="006B663F"/>
    <w:rsid w:val="006B666F"/>
    <w:rsid w:val="006B7872"/>
    <w:rsid w:val="006C07E3"/>
    <w:rsid w:val="006C16BC"/>
    <w:rsid w:val="006C1FD6"/>
    <w:rsid w:val="006C2BA2"/>
    <w:rsid w:val="006C4434"/>
    <w:rsid w:val="006C4631"/>
    <w:rsid w:val="006C53AB"/>
    <w:rsid w:val="006C555F"/>
    <w:rsid w:val="006C5758"/>
    <w:rsid w:val="006C5D31"/>
    <w:rsid w:val="006C6C78"/>
    <w:rsid w:val="006C7A24"/>
    <w:rsid w:val="006D050C"/>
    <w:rsid w:val="006D09AB"/>
    <w:rsid w:val="006D0CB0"/>
    <w:rsid w:val="006D10F6"/>
    <w:rsid w:val="006D1915"/>
    <w:rsid w:val="006D1CA7"/>
    <w:rsid w:val="006D2B49"/>
    <w:rsid w:val="006D541B"/>
    <w:rsid w:val="006D7554"/>
    <w:rsid w:val="006D7EC6"/>
    <w:rsid w:val="006E07EC"/>
    <w:rsid w:val="006E13CF"/>
    <w:rsid w:val="006E1A4E"/>
    <w:rsid w:val="006E208B"/>
    <w:rsid w:val="006E26D1"/>
    <w:rsid w:val="006E26E7"/>
    <w:rsid w:val="006E3C1D"/>
    <w:rsid w:val="006E59D5"/>
    <w:rsid w:val="006E5BB6"/>
    <w:rsid w:val="006E631D"/>
    <w:rsid w:val="006E6FD6"/>
    <w:rsid w:val="006E7C67"/>
    <w:rsid w:val="006F13CB"/>
    <w:rsid w:val="006F1BDC"/>
    <w:rsid w:val="006F2397"/>
    <w:rsid w:val="006F4FC4"/>
    <w:rsid w:val="006F52F0"/>
    <w:rsid w:val="006F5991"/>
    <w:rsid w:val="006F5B8D"/>
    <w:rsid w:val="006F5C4A"/>
    <w:rsid w:val="006F7BC4"/>
    <w:rsid w:val="00700D74"/>
    <w:rsid w:val="007018D4"/>
    <w:rsid w:val="00701DA0"/>
    <w:rsid w:val="007038EF"/>
    <w:rsid w:val="00704A84"/>
    <w:rsid w:val="007051BF"/>
    <w:rsid w:val="0070533C"/>
    <w:rsid w:val="00705A27"/>
    <w:rsid w:val="007064EA"/>
    <w:rsid w:val="00707993"/>
    <w:rsid w:val="00711986"/>
    <w:rsid w:val="00713633"/>
    <w:rsid w:val="00716AF6"/>
    <w:rsid w:val="00716C06"/>
    <w:rsid w:val="00716D26"/>
    <w:rsid w:val="00716D56"/>
    <w:rsid w:val="00716FAC"/>
    <w:rsid w:val="00717380"/>
    <w:rsid w:val="00721008"/>
    <w:rsid w:val="00721C8D"/>
    <w:rsid w:val="007221F7"/>
    <w:rsid w:val="007224F5"/>
    <w:rsid w:val="00723BBC"/>
    <w:rsid w:val="0072401F"/>
    <w:rsid w:val="00725042"/>
    <w:rsid w:val="0072519D"/>
    <w:rsid w:val="0072637B"/>
    <w:rsid w:val="0072704D"/>
    <w:rsid w:val="007270B5"/>
    <w:rsid w:val="0072710F"/>
    <w:rsid w:val="00730300"/>
    <w:rsid w:val="00730419"/>
    <w:rsid w:val="00731253"/>
    <w:rsid w:val="00731C64"/>
    <w:rsid w:val="00734870"/>
    <w:rsid w:val="00734A70"/>
    <w:rsid w:val="0073626A"/>
    <w:rsid w:val="007362F8"/>
    <w:rsid w:val="00742807"/>
    <w:rsid w:val="0074335C"/>
    <w:rsid w:val="007452D6"/>
    <w:rsid w:val="0074668D"/>
    <w:rsid w:val="00750CE1"/>
    <w:rsid w:val="007524AB"/>
    <w:rsid w:val="007555FB"/>
    <w:rsid w:val="00755C3C"/>
    <w:rsid w:val="007602CA"/>
    <w:rsid w:val="0076078F"/>
    <w:rsid w:val="00761230"/>
    <w:rsid w:val="00763248"/>
    <w:rsid w:val="00763642"/>
    <w:rsid w:val="007642CB"/>
    <w:rsid w:val="00764982"/>
    <w:rsid w:val="007659F9"/>
    <w:rsid w:val="00766292"/>
    <w:rsid w:val="00767046"/>
    <w:rsid w:val="00767731"/>
    <w:rsid w:val="00771BC9"/>
    <w:rsid w:val="00771D2E"/>
    <w:rsid w:val="007751D6"/>
    <w:rsid w:val="00775869"/>
    <w:rsid w:val="00776169"/>
    <w:rsid w:val="00776747"/>
    <w:rsid w:val="00776D81"/>
    <w:rsid w:val="00776EB4"/>
    <w:rsid w:val="00777481"/>
    <w:rsid w:val="00780029"/>
    <w:rsid w:val="007815F9"/>
    <w:rsid w:val="00783EC3"/>
    <w:rsid w:val="00784E46"/>
    <w:rsid w:val="00786ABB"/>
    <w:rsid w:val="00790ADA"/>
    <w:rsid w:val="00790BEB"/>
    <w:rsid w:val="00791374"/>
    <w:rsid w:val="007921CB"/>
    <w:rsid w:val="00792C42"/>
    <w:rsid w:val="007940CB"/>
    <w:rsid w:val="00795CF3"/>
    <w:rsid w:val="0079746F"/>
    <w:rsid w:val="007978F4"/>
    <w:rsid w:val="007A0975"/>
    <w:rsid w:val="007A231D"/>
    <w:rsid w:val="007A271A"/>
    <w:rsid w:val="007A2EB6"/>
    <w:rsid w:val="007A30AC"/>
    <w:rsid w:val="007A3529"/>
    <w:rsid w:val="007A3799"/>
    <w:rsid w:val="007A3E5C"/>
    <w:rsid w:val="007A43A7"/>
    <w:rsid w:val="007A495A"/>
    <w:rsid w:val="007A4EEA"/>
    <w:rsid w:val="007A54C1"/>
    <w:rsid w:val="007A64C0"/>
    <w:rsid w:val="007A7031"/>
    <w:rsid w:val="007B0DAC"/>
    <w:rsid w:val="007B17F8"/>
    <w:rsid w:val="007B28BD"/>
    <w:rsid w:val="007B5E23"/>
    <w:rsid w:val="007C007E"/>
    <w:rsid w:val="007C0262"/>
    <w:rsid w:val="007C0E59"/>
    <w:rsid w:val="007C16C9"/>
    <w:rsid w:val="007C33F4"/>
    <w:rsid w:val="007C47AC"/>
    <w:rsid w:val="007C49DB"/>
    <w:rsid w:val="007C539D"/>
    <w:rsid w:val="007C5A7D"/>
    <w:rsid w:val="007C68DA"/>
    <w:rsid w:val="007D141A"/>
    <w:rsid w:val="007D283A"/>
    <w:rsid w:val="007D33EE"/>
    <w:rsid w:val="007D3994"/>
    <w:rsid w:val="007D440D"/>
    <w:rsid w:val="007D493C"/>
    <w:rsid w:val="007D5AE9"/>
    <w:rsid w:val="007D610F"/>
    <w:rsid w:val="007D6BD8"/>
    <w:rsid w:val="007D7CA0"/>
    <w:rsid w:val="007E0053"/>
    <w:rsid w:val="007E03C5"/>
    <w:rsid w:val="007E0F04"/>
    <w:rsid w:val="007E0F84"/>
    <w:rsid w:val="007E2E2E"/>
    <w:rsid w:val="007E51AE"/>
    <w:rsid w:val="007E5926"/>
    <w:rsid w:val="007E6594"/>
    <w:rsid w:val="007E6917"/>
    <w:rsid w:val="007E7BC8"/>
    <w:rsid w:val="007E7C18"/>
    <w:rsid w:val="007F030C"/>
    <w:rsid w:val="007F0CCA"/>
    <w:rsid w:val="007F1048"/>
    <w:rsid w:val="007F1688"/>
    <w:rsid w:val="007F1BBA"/>
    <w:rsid w:val="007F23DF"/>
    <w:rsid w:val="007F35E8"/>
    <w:rsid w:val="007F366B"/>
    <w:rsid w:val="007F3DBB"/>
    <w:rsid w:val="007F3F99"/>
    <w:rsid w:val="007F3FBD"/>
    <w:rsid w:val="007F43AE"/>
    <w:rsid w:val="007F474F"/>
    <w:rsid w:val="007F4C75"/>
    <w:rsid w:val="007F6101"/>
    <w:rsid w:val="007F677C"/>
    <w:rsid w:val="007F6BC8"/>
    <w:rsid w:val="008000DF"/>
    <w:rsid w:val="00800C5A"/>
    <w:rsid w:val="00801BED"/>
    <w:rsid w:val="00802890"/>
    <w:rsid w:val="00803385"/>
    <w:rsid w:val="008038B1"/>
    <w:rsid w:val="00804C61"/>
    <w:rsid w:val="00805530"/>
    <w:rsid w:val="00806DA3"/>
    <w:rsid w:val="00807789"/>
    <w:rsid w:val="0081095C"/>
    <w:rsid w:val="00810E2F"/>
    <w:rsid w:val="00813510"/>
    <w:rsid w:val="0081410C"/>
    <w:rsid w:val="00814A41"/>
    <w:rsid w:val="008157A9"/>
    <w:rsid w:val="008163D2"/>
    <w:rsid w:val="008164D9"/>
    <w:rsid w:val="008166A3"/>
    <w:rsid w:val="00816E8C"/>
    <w:rsid w:val="00820609"/>
    <w:rsid w:val="008206EF"/>
    <w:rsid w:val="00820EDD"/>
    <w:rsid w:val="00821093"/>
    <w:rsid w:val="008217BE"/>
    <w:rsid w:val="00821975"/>
    <w:rsid w:val="00822CA0"/>
    <w:rsid w:val="0082384F"/>
    <w:rsid w:val="008238DF"/>
    <w:rsid w:val="00825511"/>
    <w:rsid w:val="0082560B"/>
    <w:rsid w:val="00830875"/>
    <w:rsid w:val="00831A81"/>
    <w:rsid w:val="00832856"/>
    <w:rsid w:val="00837F34"/>
    <w:rsid w:val="00840781"/>
    <w:rsid w:val="00840D64"/>
    <w:rsid w:val="008434B7"/>
    <w:rsid w:val="00843DC0"/>
    <w:rsid w:val="008449EC"/>
    <w:rsid w:val="00844FFD"/>
    <w:rsid w:val="00845B4A"/>
    <w:rsid w:val="00846B8E"/>
    <w:rsid w:val="008510DC"/>
    <w:rsid w:val="00851295"/>
    <w:rsid w:val="008513B3"/>
    <w:rsid w:val="00851460"/>
    <w:rsid w:val="008518C5"/>
    <w:rsid w:val="00851A69"/>
    <w:rsid w:val="008523D7"/>
    <w:rsid w:val="00853C6F"/>
    <w:rsid w:val="0085488C"/>
    <w:rsid w:val="00855B88"/>
    <w:rsid w:val="0085628F"/>
    <w:rsid w:val="008567F5"/>
    <w:rsid w:val="00857E1C"/>
    <w:rsid w:val="00857FAD"/>
    <w:rsid w:val="00861334"/>
    <w:rsid w:val="008634C6"/>
    <w:rsid w:val="00865134"/>
    <w:rsid w:val="00865296"/>
    <w:rsid w:val="00865580"/>
    <w:rsid w:val="008669D3"/>
    <w:rsid w:val="00866DB9"/>
    <w:rsid w:val="0086752A"/>
    <w:rsid w:val="00870991"/>
    <w:rsid w:val="008725D6"/>
    <w:rsid w:val="008726CE"/>
    <w:rsid w:val="00872857"/>
    <w:rsid w:val="0087347C"/>
    <w:rsid w:val="00876258"/>
    <w:rsid w:val="00876F97"/>
    <w:rsid w:val="008810A0"/>
    <w:rsid w:val="008810CC"/>
    <w:rsid w:val="0088184A"/>
    <w:rsid w:val="008821BA"/>
    <w:rsid w:val="00882299"/>
    <w:rsid w:val="00884271"/>
    <w:rsid w:val="008859D3"/>
    <w:rsid w:val="00885FB0"/>
    <w:rsid w:val="00887525"/>
    <w:rsid w:val="00892950"/>
    <w:rsid w:val="00892ABD"/>
    <w:rsid w:val="00895576"/>
    <w:rsid w:val="008960D5"/>
    <w:rsid w:val="00896C2F"/>
    <w:rsid w:val="008A1518"/>
    <w:rsid w:val="008A1E19"/>
    <w:rsid w:val="008A2E60"/>
    <w:rsid w:val="008A42F4"/>
    <w:rsid w:val="008A4D1E"/>
    <w:rsid w:val="008A6F81"/>
    <w:rsid w:val="008A7275"/>
    <w:rsid w:val="008A7732"/>
    <w:rsid w:val="008A7EB7"/>
    <w:rsid w:val="008B0B10"/>
    <w:rsid w:val="008B0F36"/>
    <w:rsid w:val="008B25C9"/>
    <w:rsid w:val="008B41FF"/>
    <w:rsid w:val="008B46FE"/>
    <w:rsid w:val="008B47FA"/>
    <w:rsid w:val="008B5B65"/>
    <w:rsid w:val="008B62A8"/>
    <w:rsid w:val="008B6921"/>
    <w:rsid w:val="008B6E41"/>
    <w:rsid w:val="008B6E98"/>
    <w:rsid w:val="008C0267"/>
    <w:rsid w:val="008C0BAD"/>
    <w:rsid w:val="008C10D6"/>
    <w:rsid w:val="008C1325"/>
    <w:rsid w:val="008C1C77"/>
    <w:rsid w:val="008C34FE"/>
    <w:rsid w:val="008C3692"/>
    <w:rsid w:val="008C3F9B"/>
    <w:rsid w:val="008C5371"/>
    <w:rsid w:val="008C678C"/>
    <w:rsid w:val="008D0798"/>
    <w:rsid w:val="008D0D2F"/>
    <w:rsid w:val="008D16B1"/>
    <w:rsid w:val="008D2BA8"/>
    <w:rsid w:val="008D430C"/>
    <w:rsid w:val="008D4E7E"/>
    <w:rsid w:val="008D4FE7"/>
    <w:rsid w:val="008D674C"/>
    <w:rsid w:val="008D693B"/>
    <w:rsid w:val="008D7182"/>
    <w:rsid w:val="008D7286"/>
    <w:rsid w:val="008E0ED6"/>
    <w:rsid w:val="008E146C"/>
    <w:rsid w:val="008E23BF"/>
    <w:rsid w:val="008E2DE5"/>
    <w:rsid w:val="008E2E63"/>
    <w:rsid w:val="008E43DB"/>
    <w:rsid w:val="008E4510"/>
    <w:rsid w:val="008E4645"/>
    <w:rsid w:val="008E5DF4"/>
    <w:rsid w:val="008E6EB5"/>
    <w:rsid w:val="008E6F93"/>
    <w:rsid w:val="008E72AA"/>
    <w:rsid w:val="008E7C44"/>
    <w:rsid w:val="008F0119"/>
    <w:rsid w:val="008F1871"/>
    <w:rsid w:val="008F1D07"/>
    <w:rsid w:val="00900E4A"/>
    <w:rsid w:val="00901B0D"/>
    <w:rsid w:val="00901B4D"/>
    <w:rsid w:val="00903A20"/>
    <w:rsid w:val="009046E4"/>
    <w:rsid w:val="0090528B"/>
    <w:rsid w:val="009059DB"/>
    <w:rsid w:val="00906155"/>
    <w:rsid w:val="009068F8"/>
    <w:rsid w:val="00910849"/>
    <w:rsid w:val="00910D01"/>
    <w:rsid w:val="00914309"/>
    <w:rsid w:val="009143ED"/>
    <w:rsid w:val="009159E3"/>
    <w:rsid w:val="00915F5A"/>
    <w:rsid w:val="009160F9"/>
    <w:rsid w:val="00917052"/>
    <w:rsid w:val="0091723E"/>
    <w:rsid w:val="00917645"/>
    <w:rsid w:val="009177F2"/>
    <w:rsid w:val="009202D0"/>
    <w:rsid w:val="00921568"/>
    <w:rsid w:val="00921851"/>
    <w:rsid w:val="009221AF"/>
    <w:rsid w:val="00923B80"/>
    <w:rsid w:val="00924A6E"/>
    <w:rsid w:val="00924AF7"/>
    <w:rsid w:val="0092549D"/>
    <w:rsid w:val="00926495"/>
    <w:rsid w:val="00926A52"/>
    <w:rsid w:val="0092799F"/>
    <w:rsid w:val="009305D4"/>
    <w:rsid w:val="00934117"/>
    <w:rsid w:val="00935611"/>
    <w:rsid w:val="009375EB"/>
    <w:rsid w:val="009410EE"/>
    <w:rsid w:val="00941DBF"/>
    <w:rsid w:val="00944AD0"/>
    <w:rsid w:val="00945722"/>
    <w:rsid w:val="00945900"/>
    <w:rsid w:val="00946A70"/>
    <w:rsid w:val="00947AA4"/>
    <w:rsid w:val="00947D92"/>
    <w:rsid w:val="009508DE"/>
    <w:rsid w:val="00951CB9"/>
    <w:rsid w:val="00952101"/>
    <w:rsid w:val="00952C5F"/>
    <w:rsid w:val="0095331B"/>
    <w:rsid w:val="00953912"/>
    <w:rsid w:val="00953E81"/>
    <w:rsid w:val="00954740"/>
    <w:rsid w:val="00957918"/>
    <w:rsid w:val="009603E8"/>
    <w:rsid w:val="00960857"/>
    <w:rsid w:val="00960A95"/>
    <w:rsid w:val="00960B1C"/>
    <w:rsid w:val="009610B1"/>
    <w:rsid w:val="00962004"/>
    <w:rsid w:val="00963EFC"/>
    <w:rsid w:val="009649C1"/>
    <w:rsid w:val="00964DEA"/>
    <w:rsid w:val="00965D0C"/>
    <w:rsid w:val="00966853"/>
    <w:rsid w:val="00966E25"/>
    <w:rsid w:val="0096729A"/>
    <w:rsid w:val="00967C4D"/>
    <w:rsid w:val="00970D85"/>
    <w:rsid w:val="0097196D"/>
    <w:rsid w:val="00972025"/>
    <w:rsid w:val="0097243E"/>
    <w:rsid w:val="00972B3A"/>
    <w:rsid w:val="0097349F"/>
    <w:rsid w:val="00975725"/>
    <w:rsid w:val="00976471"/>
    <w:rsid w:val="009805A8"/>
    <w:rsid w:val="00980E38"/>
    <w:rsid w:val="00981008"/>
    <w:rsid w:val="0098120D"/>
    <w:rsid w:val="0098130C"/>
    <w:rsid w:val="00981347"/>
    <w:rsid w:val="009822BB"/>
    <w:rsid w:val="0098276C"/>
    <w:rsid w:val="00982F06"/>
    <w:rsid w:val="0098305C"/>
    <w:rsid w:val="0098489E"/>
    <w:rsid w:val="00984C9E"/>
    <w:rsid w:val="00986D1E"/>
    <w:rsid w:val="009875AC"/>
    <w:rsid w:val="009876A0"/>
    <w:rsid w:val="00987742"/>
    <w:rsid w:val="00991799"/>
    <w:rsid w:val="009921A1"/>
    <w:rsid w:val="009936A5"/>
    <w:rsid w:val="00993B8F"/>
    <w:rsid w:val="00994994"/>
    <w:rsid w:val="00994B32"/>
    <w:rsid w:val="009950ED"/>
    <w:rsid w:val="0099523F"/>
    <w:rsid w:val="009A05EA"/>
    <w:rsid w:val="009A067E"/>
    <w:rsid w:val="009A08BB"/>
    <w:rsid w:val="009A433E"/>
    <w:rsid w:val="009A48C2"/>
    <w:rsid w:val="009A4D08"/>
    <w:rsid w:val="009A559C"/>
    <w:rsid w:val="009B00B9"/>
    <w:rsid w:val="009B0D31"/>
    <w:rsid w:val="009B0D51"/>
    <w:rsid w:val="009B12A6"/>
    <w:rsid w:val="009B1AF1"/>
    <w:rsid w:val="009B1B29"/>
    <w:rsid w:val="009B1E59"/>
    <w:rsid w:val="009B2BC1"/>
    <w:rsid w:val="009B609E"/>
    <w:rsid w:val="009B6DEE"/>
    <w:rsid w:val="009B7A5B"/>
    <w:rsid w:val="009C0959"/>
    <w:rsid w:val="009C12C5"/>
    <w:rsid w:val="009C2129"/>
    <w:rsid w:val="009C2943"/>
    <w:rsid w:val="009C55BA"/>
    <w:rsid w:val="009C67AE"/>
    <w:rsid w:val="009C6E30"/>
    <w:rsid w:val="009C7D2B"/>
    <w:rsid w:val="009D0F63"/>
    <w:rsid w:val="009D132E"/>
    <w:rsid w:val="009D1801"/>
    <w:rsid w:val="009D5373"/>
    <w:rsid w:val="009D54C7"/>
    <w:rsid w:val="009D5CDC"/>
    <w:rsid w:val="009D63EA"/>
    <w:rsid w:val="009E0418"/>
    <w:rsid w:val="009E0790"/>
    <w:rsid w:val="009E4685"/>
    <w:rsid w:val="009E4990"/>
    <w:rsid w:val="009E65AE"/>
    <w:rsid w:val="009F02ED"/>
    <w:rsid w:val="009F0913"/>
    <w:rsid w:val="009F1078"/>
    <w:rsid w:val="009F12E3"/>
    <w:rsid w:val="009F1AA7"/>
    <w:rsid w:val="009F27E9"/>
    <w:rsid w:val="009F2B58"/>
    <w:rsid w:val="009F2EEF"/>
    <w:rsid w:val="009F3892"/>
    <w:rsid w:val="009F409D"/>
    <w:rsid w:val="009F435D"/>
    <w:rsid w:val="009F4488"/>
    <w:rsid w:val="009F45B2"/>
    <w:rsid w:val="009F4E20"/>
    <w:rsid w:val="009F6160"/>
    <w:rsid w:val="009F7CCB"/>
    <w:rsid w:val="00A00037"/>
    <w:rsid w:val="00A0199B"/>
    <w:rsid w:val="00A01E0D"/>
    <w:rsid w:val="00A02E7E"/>
    <w:rsid w:val="00A03B16"/>
    <w:rsid w:val="00A044EC"/>
    <w:rsid w:val="00A04CDE"/>
    <w:rsid w:val="00A06C44"/>
    <w:rsid w:val="00A06ECF"/>
    <w:rsid w:val="00A121C3"/>
    <w:rsid w:val="00A12478"/>
    <w:rsid w:val="00A13A9E"/>
    <w:rsid w:val="00A13D02"/>
    <w:rsid w:val="00A1411D"/>
    <w:rsid w:val="00A14167"/>
    <w:rsid w:val="00A14328"/>
    <w:rsid w:val="00A151F3"/>
    <w:rsid w:val="00A159ED"/>
    <w:rsid w:val="00A1614E"/>
    <w:rsid w:val="00A167FC"/>
    <w:rsid w:val="00A210EE"/>
    <w:rsid w:val="00A217AB"/>
    <w:rsid w:val="00A22102"/>
    <w:rsid w:val="00A23526"/>
    <w:rsid w:val="00A23DDA"/>
    <w:rsid w:val="00A244CE"/>
    <w:rsid w:val="00A24540"/>
    <w:rsid w:val="00A24A15"/>
    <w:rsid w:val="00A26D1C"/>
    <w:rsid w:val="00A27181"/>
    <w:rsid w:val="00A317C9"/>
    <w:rsid w:val="00A3284D"/>
    <w:rsid w:val="00A3405F"/>
    <w:rsid w:val="00A353B0"/>
    <w:rsid w:val="00A361B3"/>
    <w:rsid w:val="00A375BB"/>
    <w:rsid w:val="00A37C32"/>
    <w:rsid w:val="00A400EF"/>
    <w:rsid w:val="00A40F5C"/>
    <w:rsid w:val="00A432BA"/>
    <w:rsid w:val="00A433B8"/>
    <w:rsid w:val="00A43E2A"/>
    <w:rsid w:val="00A4567C"/>
    <w:rsid w:val="00A50D26"/>
    <w:rsid w:val="00A512A0"/>
    <w:rsid w:val="00A517D0"/>
    <w:rsid w:val="00A51F10"/>
    <w:rsid w:val="00A533EF"/>
    <w:rsid w:val="00A5636E"/>
    <w:rsid w:val="00A563F4"/>
    <w:rsid w:val="00A5744A"/>
    <w:rsid w:val="00A57E5A"/>
    <w:rsid w:val="00A6158E"/>
    <w:rsid w:val="00A62401"/>
    <w:rsid w:val="00A62D63"/>
    <w:rsid w:val="00A630A4"/>
    <w:rsid w:val="00A63430"/>
    <w:rsid w:val="00A648B5"/>
    <w:rsid w:val="00A648BE"/>
    <w:rsid w:val="00A66491"/>
    <w:rsid w:val="00A66B15"/>
    <w:rsid w:val="00A67FAA"/>
    <w:rsid w:val="00A70504"/>
    <w:rsid w:val="00A7151D"/>
    <w:rsid w:val="00A71C45"/>
    <w:rsid w:val="00A726BE"/>
    <w:rsid w:val="00A7297A"/>
    <w:rsid w:val="00A73DCD"/>
    <w:rsid w:val="00A7408E"/>
    <w:rsid w:val="00A75A46"/>
    <w:rsid w:val="00A75F47"/>
    <w:rsid w:val="00A760E3"/>
    <w:rsid w:val="00A76905"/>
    <w:rsid w:val="00A800F8"/>
    <w:rsid w:val="00A804B7"/>
    <w:rsid w:val="00A82146"/>
    <w:rsid w:val="00A824D2"/>
    <w:rsid w:val="00A84F57"/>
    <w:rsid w:val="00A851DA"/>
    <w:rsid w:val="00A861AA"/>
    <w:rsid w:val="00A87E4E"/>
    <w:rsid w:val="00A91E7E"/>
    <w:rsid w:val="00A923C1"/>
    <w:rsid w:val="00A925D1"/>
    <w:rsid w:val="00A940B7"/>
    <w:rsid w:val="00A95777"/>
    <w:rsid w:val="00A957E4"/>
    <w:rsid w:val="00A95A4E"/>
    <w:rsid w:val="00A95BBD"/>
    <w:rsid w:val="00A96047"/>
    <w:rsid w:val="00A96A32"/>
    <w:rsid w:val="00A97B9D"/>
    <w:rsid w:val="00AA0E67"/>
    <w:rsid w:val="00AA17AC"/>
    <w:rsid w:val="00AA1884"/>
    <w:rsid w:val="00AA2D26"/>
    <w:rsid w:val="00AA4087"/>
    <w:rsid w:val="00AA4581"/>
    <w:rsid w:val="00AA78EB"/>
    <w:rsid w:val="00AB2870"/>
    <w:rsid w:val="00AB355A"/>
    <w:rsid w:val="00AB730D"/>
    <w:rsid w:val="00AB7A76"/>
    <w:rsid w:val="00AB7C20"/>
    <w:rsid w:val="00AC337D"/>
    <w:rsid w:val="00AC408D"/>
    <w:rsid w:val="00AC4128"/>
    <w:rsid w:val="00AC4733"/>
    <w:rsid w:val="00AC6AD0"/>
    <w:rsid w:val="00AD0385"/>
    <w:rsid w:val="00AD09A4"/>
    <w:rsid w:val="00AD0B4D"/>
    <w:rsid w:val="00AD22A7"/>
    <w:rsid w:val="00AD24CB"/>
    <w:rsid w:val="00AD316C"/>
    <w:rsid w:val="00AD3E18"/>
    <w:rsid w:val="00AD494C"/>
    <w:rsid w:val="00AD4CB7"/>
    <w:rsid w:val="00AD501C"/>
    <w:rsid w:val="00AD5526"/>
    <w:rsid w:val="00AD57E4"/>
    <w:rsid w:val="00AD5960"/>
    <w:rsid w:val="00AD5BA8"/>
    <w:rsid w:val="00AD61C5"/>
    <w:rsid w:val="00AD7546"/>
    <w:rsid w:val="00AD7BAC"/>
    <w:rsid w:val="00AE006D"/>
    <w:rsid w:val="00AE04CB"/>
    <w:rsid w:val="00AE0CF9"/>
    <w:rsid w:val="00AE1B78"/>
    <w:rsid w:val="00AE316C"/>
    <w:rsid w:val="00AE3FA7"/>
    <w:rsid w:val="00AE41C8"/>
    <w:rsid w:val="00AE4FD7"/>
    <w:rsid w:val="00AE5001"/>
    <w:rsid w:val="00AE519A"/>
    <w:rsid w:val="00AE5B37"/>
    <w:rsid w:val="00AE6CFD"/>
    <w:rsid w:val="00AE75D2"/>
    <w:rsid w:val="00AF1E83"/>
    <w:rsid w:val="00AF20DA"/>
    <w:rsid w:val="00AF2B96"/>
    <w:rsid w:val="00AF3510"/>
    <w:rsid w:val="00AF4DC3"/>
    <w:rsid w:val="00AF50B4"/>
    <w:rsid w:val="00AF5B7E"/>
    <w:rsid w:val="00AF7770"/>
    <w:rsid w:val="00B00C86"/>
    <w:rsid w:val="00B02C84"/>
    <w:rsid w:val="00B03465"/>
    <w:rsid w:val="00B0553F"/>
    <w:rsid w:val="00B06139"/>
    <w:rsid w:val="00B1169C"/>
    <w:rsid w:val="00B12170"/>
    <w:rsid w:val="00B122FA"/>
    <w:rsid w:val="00B1314B"/>
    <w:rsid w:val="00B14DB8"/>
    <w:rsid w:val="00B15485"/>
    <w:rsid w:val="00B15A9C"/>
    <w:rsid w:val="00B17AE3"/>
    <w:rsid w:val="00B20A19"/>
    <w:rsid w:val="00B22280"/>
    <w:rsid w:val="00B24420"/>
    <w:rsid w:val="00B2586B"/>
    <w:rsid w:val="00B25955"/>
    <w:rsid w:val="00B260BD"/>
    <w:rsid w:val="00B261C1"/>
    <w:rsid w:val="00B278FC"/>
    <w:rsid w:val="00B27EE0"/>
    <w:rsid w:val="00B30727"/>
    <w:rsid w:val="00B317FF"/>
    <w:rsid w:val="00B345A1"/>
    <w:rsid w:val="00B35E3B"/>
    <w:rsid w:val="00B37D9B"/>
    <w:rsid w:val="00B4012E"/>
    <w:rsid w:val="00B432A7"/>
    <w:rsid w:val="00B434B6"/>
    <w:rsid w:val="00B45003"/>
    <w:rsid w:val="00B4636E"/>
    <w:rsid w:val="00B46A92"/>
    <w:rsid w:val="00B46E04"/>
    <w:rsid w:val="00B47666"/>
    <w:rsid w:val="00B5110F"/>
    <w:rsid w:val="00B51548"/>
    <w:rsid w:val="00B51EA1"/>
    <w:rsid w:val="00B52EF3"/>
    <w:rsid w:val="00B548A4"/>
    <w:rsid w:val="00B54F4B"/>
    <w:rsid w:val="00B55C1F"/>
    <w:rsid w:val="00B56490"/>
    <w:rsid w:val="00B5652A"/>
    <w:rsid w:val="00B5681B"/>
    <w:rsid w:val="00B57A29"/>
    <w:rsid w:val="00B60C91"/>
    <w:rsid w:val="00B613C4"/>
    <w:rsid w:val="00B62983"/>
    <w:rsid w:val="00B62BAD"/>
    <w:rsid w:val="00B643F3"/>
    <w:rsid w:val="00B678B1"/>
    <w:rsid w:val="00B67AED"/>
    <w:rsid w:val="00B67C2D"/>
    <w:rsid w:val="00B70890"/>
    <w:rsid w:val="00B714D5"/>
    <w:rsid w:val="00B71F47"/>
    <w:rsid w:val="00B72164"/>
    <w:rsid w:val="00B72773"/>
    <w:rsid w:val="00B754C0"/>
    <w:rsid w:val="00B75689"/>
    <w:rsid w:val="00B759A8"/>
    <w:rsid w:val="00B763AA"/>
    <w:rsid w:val="00B77DE8"/>
    <w:rsid w:val="00B77F7A"/>
    <w:rsid w:val="00B80396"/>
    <w:rsid w:val="00B80806"/>
    <w:rsid w:val="00B81359"/>
    <w:rsid w:val="00B8389E"/>
    <w:rsid w:val="00B841A9"/>
    <w:rsid w:val="00B86405"/>
    <w:rsid w:val="00B86A2C"/>
    <w:rsid w:val="00B9087C"/>
    <w:rsid w:val="00B90A29"/>
    <w:rsid w:val="00B93CEB"/>
    <w:rsid w:val="00B945B1"/>
    <w:rsid w:val="00B950E7"/>
    <w:rsid w:val="00B95B92"/>
    <w:rsid w:val="00B95BAD"/>
    <w:rsid w:val="00B975E1"/>
    <w:rsid w:val="00BA0E42"/>
    <w:rsid w:val="00BA100B"/>
    <w:rsid w:val="00BA13E6"/>
    <w:rsid w:val="00BA1AB1"/>
    <w:rsid w:val="00BA3F40"/>
    <w:rsid w:val="00BA4890"/>
    <w:rsid w:val="00BA5E01"/>
    <w:rsid w:val="00BA5E5A"/>
    <w:rsid w:val="00BA6A35"/>
    <w:rsid w:val="00BB029B"/>
    <w:rsid w:val="00BB0A5B"/>
    <w:rsid w:val="00BB25B6"/>
    <w:rsid w:val="00BB5596"/>
    <w:rsid w:val="00BB5778"/>
    <w:rsid w:val="00BB580B"/>
    <w:rsid w:val="00BB762D"/>
    <w:rsid w:val="00BB7AAE"/>
    <w:rsid w:val="00BC434D"/>
    <w:rsid w:val="00BC69E7"/>
    <w:rsid w:val="00BC757A"/>
    <w:rsid w:val="00BC7682"/>
    <w:rsid w:val="00BC7D60"/>
    <w:rsid w:val="00BC7FFC"/>
    <w:rsid w:val="00BD0D2F"/>
    <w:rsid w:val="00BD1BF8"/>
    <w:rsid w:val="00BD2E2A"/>
    <w:rsid w:val="00BD32F4"/>
    <w:rsid w:val="00BD7E33"/>
    <w:rsid w:val="00BE0F0B"/>
    <w:rsid w:val="00BE239D"/>
    <w:rsid w:val="00BE3CC4"/>
    <w:rsid w:val="00BE42DB"/>
    <w:rsid w:val="00BE42E2"/>
    <w:rsid w:val="00BE5DBE"/>
    <w:rsid w:val="00BF0295"/>
    <w:rsid w:val="00BF116A"/>
    <w:rsid w:val="00BF19D6"/>
    <w:rsid w:val="00BF321D"/>
    <w:rsid w:val="00BF3FFE"/>
    <w:rsid w:val="00BF4A48"/>
    <w:rsid w:val="00BF4DBA"/>
    <w:rsid w:val="00BF5562"/>
    <w:rsid w:val="00BF5C6E"/>
    <w:rsid w:val="00C025A0"/>
    <w:rsid w:val="00C06936"/>
    <w:rsid w:val="00C06CE0"/>
    <w:rsid w:val="00C07417"/>
    <w:rsid w:val="00C10077"/>
    <w:rsid w:val="00C10F16"/>
    <w:rsid w:val="00C1143C"/>
    <w:rsid w:val="00C1168B"/>
    <w:rsid w:val="00C11DE9"/>
    <w:rsid w:val="00C124CB"/>
    <w:rsid w:val="00C130E6"/>
    <w:rsid w:val="00C13CAA"/>
    <w:rsid w:val="00C13D65"/>
    <w:rsid w:val="00C141B6"/>
    <w:rsid w:val="00C178B4"/>
    <w:rsid w:val="00C17C45"/>
    <w:rsid w:val="00C211A6"/>
    <w:rsid w:val="00C2193D"/>
    <w:rsid w:val="00C2212E"/>
    <w:rsid w:val="00C22382"/>
    <w:rsid w:val="00C22884"/>
    <w:rsid w:val="00C22CFA"/>
    <w:rsid w:val="00C26045"/>
    <w:rsid w:val="00C265F6"/>
    <w:rsid w:val="00C2660B"/>
    <w:rsid w:val="00C27FC1"/>
    <w:rsid w:val="00C306E0"/>
    <w:rsid w:val="00C313BB"/>
    <w:rsid w:val="00C33395"/>
    <w:rsid w:val="00C33CE9"/>
    <w:rsid w:val="00C340A1"/>
    <w:rsid w:val="00C34E7A"/>
    <w:rsid w:val="00C3559C"/>
    <w:rsid w:val="00C35ED5"/>
    <w:rsid w:val="00C36914"/>
    <w:rsid w:val="00C3736F"/>
    <w:rsid w:val="00C37454"/>
    <w:rsid w:val="00C42812"/>
    <w:rsid w:val="00C43F72"/>
    <w:rsid w:val="00C452DC"/>
    <w:rsid w:val="00C46AEC"/>
    <w:rsid w:val="00C47B25"/>
    <w:rsid w:val="00C47EA7"/>
    <w:rsid w:val="00C50285"/>
    <w:rsid w:val="00C5029A"/>
    <w:rsid w:val="00C50798"/>
    <w:rsid w:val="00C51FFC"/>
    <w:rsid w:val="00C52029"/>
    <w:rsid w:val="00C53193"/>
    <w:rsid w:val="00C5393A"/>
    <w:rsid w:val="00C540C8"/>
    <w:rsid w:val="00C55451"/>
    <w:rsid w:val="00C55A4E"/>
    <w:rsid w:val="00C55C67"/>
    <w:rsid w:val="00C56482"/>
    <w:rsid w:val="00C566FC"/>
    <w:rsid w:val="00C56F5C"/>
    <w:rsid w:val="00C5757D"/>
    <w:rsid w:val="00C57B25"/>
    <w:rsid w:val="00C57BD4"/>
    <w:rsid w:val="00C60A27"/>
    <w:rsid w:val="00C61607"/>
    <w:rsid w:val="00C6305C"/>
    <w:rsid w:val="00C63D93"/>
    <w:rsid w:val="00C648EB"/>
    <w:rsid w:val="00C65FF5"/>
    <w:rsid w:val="00C66CB6"/>
    <w:rsid w:val="00C70A82"/>
    <w:rsid w:val="00C70B76"/>
    <w:rsid w:val="00C71363"/>
    <w:rsid w:val="00C72075"/>
    <w:rsid w:val="00C7249A"/>
    <w:rsid w:val="00C74C81"/>
    <w:rsid w:val="00C750EA"/>
    <w:rsid w:val="00C75D02"/>
    <w:rsid w:val="00C76811"/>
    <w:rsid w:val="00C77480"/>
    <w:rsid w:val="00C80B5A"/>
    <w:rsid w:val="00C82B59"/>
    <w:rsid w:val="00C831FC"/>
    <w:rsid w:val="00C84645"/>
    <w:rsid w:val="00C84A75"/>
    <w:rsid w:val="00C8594E"/>
    <w:rsid w:val="00C85B37"/>
    <w:rsid w:val="00C90857"/>
    <w:rsid w:val="00C90B8D"/>
    <w:rsid w:val="00C91729"/>
    <w:rsid w:val="00C919FA"/>
    <w:rsid w:val="00C93BDD"/>
    <w:rsid w:val="00C940C4"/>
    <w:rsid w:val="00C94AA8"/>
    <w:rsid w:val="00C95BE0"/>
    <w:rsid w:val="00C95FA0"/>
    <w:rsid w:val="00CA0061"/>
    <w:rsid w:val="00CA1C0D"/>
    <w:rsid w:val="00CA3CE8"/>
    <w:rsid w:val="00CA443C"/>
    <w:rsid w:val="00CA5420"/>
    <w:rsid w:val="00CB056F"/>
    <w:rsid w:val="00CB091C"/>
    <w:rsid w:val="00CB1531"/>
    <w:rsid w:val="00CB18E5"/>
    <w:rsid w:val="00CB1B5A"/>
    <w:rsid w:val="00CB20F7"/>
    <w:rsid w:val="00CB3603"/>
    <w:rsid w:val="00CB4E0B"/>
    <w:rsid w:val="00CB6FE3"/>
    <w:rsid w:val="00CB78C5"/>
    <w:rsid w:val="00CB7EA1"/>
    <w:rsid w:val="00CC03DD"/>
    <w:rsid w:val="00CC1259"/>
    <w:rsid w:val="00CC2FC4"/>
    <w:rsid w:val="00CC386B"/>
    <w:rsid w:val="00CC4CC3"/>
    <w:rsid w:val="00CC7FEF"/>
    <w:rsid w:val="00CD087A"/>
    <w:rsid w:val="00CD0A30"/>
    <w:rsid w:val="00CD1498"/>
    <w:rsid w:val="00CD1C1C"/>
    <w:rsid w:val="00CD33FD"/>
    <w:rsid w:val="00CD4EBC"/>
    <w:rsid w:val="00CD551E"/>
    <w:rsid w:val="00CD5C5C"/>
    <w:rsid w:val="00CD6853"/>
    <w:rsid w:val="00CD7BFB"/>
    <w:rsid w:val="00CE21E7"/>
    <w:rsid w:val="00CE236C"/>
    <w:rsid w:val="00CE2B2F"/>
    <w:rsid w:val="00CE2D86"/>
    <w:rsid w:val="00CE45F6"/>
    <w:rsid w:val="00CE49DF"/>
    <w:rsid w:val="00CE595D"/>
    <w:rsid w:val="00CE5DF2"/>
    <w:rsid w:val="00CE7206"/>
    <w:rsid w:val="00CF1329"/>
    <w:rsid w:val="00CF21DB"/>
    <w:rsid w:val="00CF23C9"/>
    <w:rsid w:val="00CF2D6F"/>
    <w:rsid w:val="00CF2E0C"/>
    <w:rsid w:val="00CF6724"/>
    <w:rsid w:val="00D008AB"/>
    <w:rsid w:val="00D02BD8"/>
    <w:rsid w:val="00D03D73"/>
    <w:rsid w:val="00D04220"/>
    <w:rsid w:val="00D055DE"/>
    <w:rsid w:val="00D11981"/>
    <w:rsid w:val="00D120DC"/>
    <w:rsid w:val="00D126DE"/>
    <w:rsid w:val="00D13454"/>
    <w:rsid w:val="00D13BF4"/>
    <w:rsid w:val="00D14042"/>
    <w:rsid w:val="00D143D8"/>
    <w:rsid w:val="00D14B07"/>
    <w:rsid w:val="00D16419"/>
    <w:rsid w:val="00D17573"/>
    <w:rsid w:val="00D17BDF"/>
    <w:rsid w:val="00D20B99"/>
    <w:rsid w:val="00D227F2"/>
    <w:rsid w:val="00D24CFD"/>
    <w:rsid w:val="00D2529C"/>
    <w:rsid w:val="00D2597D"/>
    <w:rsid w:val="00D259AF"/>
    <w:rsid w:val="00D26ED9"/>
    <w:rsid w:val="00D30368"/>
    <w:rsid w:val="00D3050D"/>
    <w:rsid w:val="00D30622"/>
    <w:rsid w:val="00D30B1E"/>
    <w:rsid w:val="00D30E20"/>
    <w:rsid w:val="00D31C91"/>
    <w:rsid w:val="00D3201A"/>
    <w:rsid w:val="00D33771"/>
    <w:rsid w:val="00D3442C"/>
    <w:rsid w:val="00D35D36"/>
    <w:rsid w:val="00D36E24"/>
    <w:rsid w:val="00D373A4"/>
    <w:rsid w:val="00D474FF"/>
    <w:rsid w:val="00D47521"/>
    <w:rsid w:val="00D50079"/>
    <w:rsid w:val="00D50D3D"/>
    <w:rsid w:val="00D50DCB"/>
    <w:rsid w:val="00D51D76"/>
    <w:rsid w:val="00D529D9"/>
    <w:rsid w:val="00D542DD"/>
    <w:rsid w:val="00D5533A"/>
    <w:rsid w:val="00D555F4"/>
    <w:rsid w:val="00D578C6"/>
    <w:rsid w:val="00D60FBA"/>
    <w:rsid w:val="00D61A52"/>
    <w:rsid w:val="00D61F35"/>
    <w:rsid w:val="00D620B4"/>
    <w:rsid w:val="00D62277"/>
    <w:rsid w:val="00D62D1C"/>
    <w:rsid w:val="00D645C6"/>
    <w:rsid w:val="00D648DF"/>
    <w:rsid w:val="00D650B3"/>
    <w:rsid w:val="00D658EC"/>
    <w:rsid w:val="00D65A6B"/>
    <w:rsid w:val="00D661A3"/>
    <w:rsid w:val="00D679CC"/>
    <w:rsid w:val="00D703DC"/>
    <w:rsid w:val="00D712A2"/>
    <w:rsid w:val="00D714D5"/>
    <w:rsid w:val="00D72210"/>
    <w:rsid w:val="00D72CAF"/>
    <w:rsid w:val="00D73237"/>
    <w:rsid w:val="00D739EF"/>
    <w:rsid w:val="00D73EA5"/>
    <w:rsid w:val="00D74383"/>
    <w:rsid w:val="00D7452B"/>
    <w:rsid w:val="00D75C75"/>
    <w:rsid w:val="00D76079"/>
    <w:rsid w:val="00D76810"/>
    <w:rsid w:val="00D76D93"/>
    <w:rsid w:val="00D814A0"/>
    <w:rsid w:val="00D84C7A"/>
    <w:rsid w:val="00D85DB8"/>
    <w:rsid w:val="00D871E3"/>
    <w:rsid w:val="00D8726A"/>
    <w:rsid w:val="00D90202"/>
    <w:rsid w:val="00D90B5B"/>
    <w:rsid w:val="00D93302"/>
    <w:rsid w:val="00D96569"/>
    <w:rsid w:val="00D96E5B"/>
    <w:rsid w:val="00D970EC"/>
    <w:rsid w:val="00D97E7A"/>
    <w:rsid w:val="00DA0E04"/>
    <w:rsid w:val="00DA13D9"/>
    <w:rsid w:val="00DA318B"/>
    <w:rsid w:val="00DA49ED"/>
    <w:rsid w:val="00DA5D6A"/>
    <w:rsid w:val="00DA75CF"/>
    <w:rsid w:val="00DA7C35"/>
    <w:rsid w:val="00DB0DD0"/>
    <w:rsid w:val="00DB0E1C"/>
    <w:rsid w:val="00DB22A6"/>
    <w:rsid w:val="00DB2459"/>
    <w:rsid w:val="00DB2981"/>
    <w:rsid w:val="00DB2DFD"/>
    <w:rsid w:val="00DB3EDD"/>
    <w:rsid w:val="00DB44BF"/>
    <w:rsid w:val="00DB4693"/>
    <w:rsid w:val="00DB4FB2"/>
    <w:rsid w:val="00DB5035"/>
    <w:rsid w:val="00DB584D"/>
    <w:rsid w:val="00DB6567"/>
    <w:rsid w:val="00DB6785"/>
    <w:rsid w:val="00DB704A"/>
    <w:rsid w:val="00DC0411"/>
    <w:rsid w:val="00DC066A"/>
    <w:rsid w:val="00DC09EA"/>
    <w:rsid w:val="00DC1A1B"/>
    <w:rsid w:val="00DC5195"/>
    <w:rsid w:val="00DC5C5D"/>
    <w:rsid w:val="00DC5CBC"/>
    <w:rsid w:val="00DC62AC"/>
    <w:rsid w:val="00DC7E26"/>
    <w:rsid w:val="00DD0CC2"/>
    <w:rsid w:val="00DD11B7"/>
    <w:rsid w:val="00DD2784"/>
    <w:rsid w:val="00DD29D7"/>
    <w:rsid w:val="00DD3875"/>
    <w:rsid w:val="00DD417D"/>
    <w:rsid w:val="00DD510B"/>
    <w:rsid w:val="00DD5B66"/>
    <w:rsid w:val="00DD5FDD"/>
    <w:rsid w:val="00DD6AB1"/>
    <w:rsid w:val="00DD7C7C"/>
    <w:rsid w:val="00DD7CFE"/>
    <w:rsid w:val="00DD7F82"/>
    <w:rsid w:val="00DE0FC1"/>
    <w:rsid w:val="00DE2097"/>
    <w:rsid w:val="00DE28D9"/>
    <w:rsid w:val="00DE29BD"/>
    <w:rsid w:val="00DE2C29"/>
    <w:rsid w:val="00DE2FAA"/>
    <w:rsid w:val="00DE4B29"/>
    <w:rsid w:val="00DE5C55"/>
    <w:rsid w:val="00DE6674"/>
    <w:rsid w:val="00DE6A23"/>
    <w:rsid w:val="00DE7B5C"/>
    <w:rsid w:val="00DE7E98"/>
    <w:rsid w:val="00DF0431"/>
    <w:rsid w:val="00DF05CB"/>
    <w:rsid w:val="00DF22B0"/>
    <w:rsid w:val="00DF4258"/>
    <w:rsid w:val="00DF446F"/>
    <w:rsid w:val="00DF46DF"/>
    <w:rsid w:val="00DF4DC8"/>
    <w:rsid w:val="00DF52CF"/>
    <w:rsid w:val="00E008C8"/>
    <w:rsid w:val="00E00A8B"/>
    <w:rsid w:val="00E03920"/>
    <w:rsid w:val="00E03C55"/>
    <w:rsid w:val="00E03E13"/>
    <w:rsid w:val="00E04B09"/>
    <w:rsid w:val="00E05E10"/>
    <w:rsid w:val="00E06D4E"/>
    <w:rsid w:val="00E06FA6"/>
    <w:rsid w:val="00E145E9"/>
    <w:rsid w:val="00E15319"/>
    <w:rsid w:val="00E16403"/>
    <w:rsid w:val="00E16448"/>
    <w:rsid w:val="00E21076"/>
    <w:rsid w:val="00E21973"/>
    <w:rsid w:val="00E23427"/>
    <w:rsid w:val="00E2568F"/>
    <w:rsid w:val="00E25986"/>
    <w:rsid w:val="00E25D4B"/>
    <w:rsid w:val="00E26834"/>
    <w:rsid w:val="00E307FF"/>
    <w:rsid w:val="00E30ADD"/>
    <w:rsid w:val="00E31861"/>
    <w:rsid w:val="00E33D31"/>
    <w:rsid w:val="00E342AC"/>
    <w:rsid w:val="00E35770"/>
    <w:rsid w:val="00E35FBE"/>
    <w:rsid w:val="00E363B4"/>
    <w:rsid w:val="00E37270"/>
    <w:rsid w:val="00E40494"/>
    <w:rsid w:val="00E423FB"/>
    <w:rsid w:val="00E43427"/>
    <w:rsid w:val="00E43AF7"/>
    <w:rsid w:val="00E45594"/>
    <w:rsid w:val="00E458F1"/>
    <w:rsid w:val="00E458F9"/>
    <w:rsid w:val="00E45D8A"/>
    <w:rsid w:val="00E4601E"/>
    <w:rsid w:val="00E46CFD"/>
    <w:rsid w:val="00E47C03"/>
    <w:rsid w:val="00E47F3D"/>
    <w:rsid w:val="00E52283"/>
    <w:rsid w:val="00E5241F"/>
    <w:rsid w:val="00E52C21"/>
    <w:rsid w:val="00E54269"/>
    <w:rsid w:val="00E55A01"/>
    <w:rsid w:val="00E6065C"/>
    <w:rsid w:val="00E614DF"/>
    <w:rsid w:val="00E61878"/>
    <w:rsid w:val="00E6200E"/>
    <w:rsid w:val="00E63A6C"/>
    <w:rsid w:val="00E63BE2"/>
    <w:rsid w:val="00E643C6"/>
    <w:rsid w:val="00E65ABA"/>
    <w:rsid w:val="00E6683F"/>
    <w:rsid w:val="00E670C3"/>
    <w:rsid w:val="00E671D4"/>
    <w:rsid w:val="00E67F3A"/>
    <w:rsid w:val="00E7277D"/>
    <w:rsid w:val="00E72E22"/>
    <w:rsid w:val="00E72F5F"/>
    <w:rsid w:val="00E73A68"/>
    <w:rsid w:val="00E73AF3"/>
    <w:rsid w:val="00E746E0"/>
    <w:rsid w:val="00E755E6"/>
    <w:rsid w:val="00E757FD"/>
    <w:rsid w:val="00E75917"/>
    <w:rsid w:val="00E75A55"/>
    <w:rsid w:val="00E83421"/>
    <w:rsid w:val="00E85409"/>
    <w:rsid w:val="00E857AD"/>
    <w:rsid w:val="00E859D0"/>
    <w:rsid w:val="00E914E0"/>
    <w:rsid w:val="00E91899"/>
    <w:rsid w:val="00E9262B"/>
    <w:rsid w:val="00E93DE4"/>
    <w:rsid w:val="00E94165"/>
    <w:rsid w:val="00E94CD0"/>
    <w:rsid w:val="00E94FA4"/>
    <w:rsid w:val="00E97408"/>
    <w:rsid w:val="00E97BDE"/>
    <w:rsid w:val="00EA1204"/>
    <w:rsid w:val="00EA18B9"/>
    <w:rsid w:val="00EA1B45"/>
    <w:rsid w:val="00EA2505"/>
    <w:rsid w:val="00EA3FBA"/>
    <w:rsid w:val="00EA4883"/>
    <w:rsid w:val="00EA48ED"/>
    <w:rsid w:val="00EB1D34"/>
    <w:rsid w:val="00EB4355"/>
    <w:rsid w:val="00EB4E36"/>
    <w:rsid w:val="00EB6363"/>
    <w:rsid w:val="00EC0668"/>
    <w:rsid w:val="00EC2A54"/>
    <w:rsid w:val="00EC37CC"/>
    <w:rsid w:val="00EC4EA3"/>
    <w:rsid w:val="00EC6A52"/>
    <w:rsid w:val="00EC74BC"/>
    <w:rsid w:val="00EC79A1"/>
    <w:rsid w:val="00ED007E"/>
    <w:rsid w:val="00ED3477"/>
    <w:rsid w:val="00ED41E8"/>
    <w:rsid w:val="00ED42EA"/>
    <w:rsid w:val="00ED6D8F"/>
    <w:rsid w:val="00ED7682"/>
    <w:rsid w:val="00ED793B"/>
    <w:rsid w:val="00EE2D7F"/>
    <w:rsid w:val="00EE31CB"/>
    <w:rsid w:val="00EE3D88"/>
    <w:rsid w:val="00EE3F04"/>
    <w:rsid w:val="00EE60DA"/>
    <w:rsid w:val="00EE6178"/>
    <w:rsid w:val="00EE6541"/>
    <w:rsid w:val="00EE6C14"/>
    <w:rsid w:val="00EE7424"/>
    <w:rsid w:val="00EE7F4E"/>
    <w:rsid w:val="00EF0CC4"/>
    <w:rsid w:val="00EF1444"/>
    <w:rsid w:val="00EF340F"/>
    <w:rsid w:val="00EF4142"/>
    <w:rsid w:val="00EF533D"/>
    <w:rsid w:val="00EF5FC4"/>
    <w:rsid w:val="00EF6339"/>
    <w:rsid w:val="00F01AEF"/>
    <w:rsid w:val="00F01BB9"/>
    <w:rsid w:val="00F0612B"/>
    <w:rsid w:val="00F0617F"/>
    <w:rsid w:val="00F108A0"/>
    <w:rsid w:val="00F10A38"/>
    <w:rsid w:val="00F119E7"/>
    <w:rsid w:val="00F13B47"/>
    <w:rsid w:val="00F13FF4"/>
    <w:rsid w:val="00F14F16"/>
    <w:rsid w:val="00F159E6"/>
    <w:rsid w:val="00F1705B"/>
    <w:rsid w:val="00F17D30"/>
    <w:rsid w:val="00F20CC1"/>
    <w:rsid w:val="00F22A08"/>
    <w:rsid w:val="00F23575"/>
    <w:rsid w:val="00F2547B"/>
    <w:rsid w:val="00F2571B"/>
    <w:rsid w:val="00F27B7A"/>
    <w:rsid w:val="00F30CF6"/>
    <w:rsid w:val="00F3139E"/>
    <w:rsid w:val="00F32A52"/>
    <w:rsid w:val="00F32E3C"/>
    <w:rsid w:val="00F339BC"/>
    <w:rsid w:val="00F34E05"/>
    <w:rsid w:val="00F37124"/>
    <w:rsid w:val="00F41A56"/>
    <w:rsid w:val="00F4290C"/>
    <w:rsid w:val="00F438B5"/>
    <w:rsid w:val="00F451AD"/>
    <w:rsid w:val="00F463BA"/>
    <w:rsid w:val="00F47256"/>
    <w:rsid w:val="00F47A99"/>
    <w:rsid w:val="00F50215"/>
    <w:rsid w:val="00F547FB"/>
    <w:rsid w:val="00F60E6F"/>
    <w:rsid w:val="00F6527B"/>
    <w:rsid w:val="00F66961"/>
    <w:rsid w:val="00F67E6C"/>
    <w:rsid w:val="00F70D43"/>
    <w:rsid w:val="00F72DDC"/>
    <w:rsid w:val="00F72E37"/>
    <w:rsid w:val="00F73016"/>
    <w:rsid w:val="00F73B6E"/>
    <w:rsid w:val="00F73D71"/>
    <w:rsid w:val="00F75C98"/>
    <w:rsid w:val="00F832A3"/>
    <w:rsid w:val="00F83B15"/>
    <w:rsid w:val="00F84850"/>
    <w:rsid w:val="00F855C6"/>
    <w:rsid w:val="00F8608D"/>
    <w:rsid w:val="00F95FF4"/>
    <w:rsid w:val="00F96CE9"/>
    <w:rsid w:val="00F96F3A"/>
    <w:rsid w:val="00F97B5F"/>
    <w:rsid w:val="00FA0BC6"/>
    <w:rsid w:val="00FA22D0"/>
    <w:rsid w:val="00FA4182"/>
    <w:rsid w:val="00FA49AE"/>
    <w:rsid w:val="00FA4EFD"/>
    <w:rsid w:val="00FA56ED"/>
    <w:rsid w:val="00FA6352"/>
    <w:rsid w:val="00FA720C"/>
    <w:rsid w:val="00FA76D6"/>
    <w:rsid w:val="00FA7BA5"/>
    <w:rsid w:val="00FB00D1"/>
    <w:rsid w:val="00FB167D"/>
    <w:rsid w:val="00FB1F0B"/>
    <w:rsid w:val="00FB25D4"/>
    <w:rsid w:val="00FB2852"/>
    <w:rsid w:val="00FB3B6B"/>
    <w:rsid w:val="00FB3C5B"/>
    <w:rsid w:val="00FB4407"/>
    <w:rsid w:val="00FB4650"/>
    <w:rsid w:val="00FB4D52"/>
    <w:rsid w:val="00FB5108"/>
    <w:rsid w:val="00FB5AC2"/>
    <w:rsid w:val="00FB5E56"/>
    <w:rsid w:val="00FB6510"/>
    <w:rsid w:val="00FB6642"/>
    <w:rsid w:val="00FB73F9"/>
    <w:rsid w:val="00FC1550"/>
    <w:rsid w:val="00FC1E58"/>
    <w:rsid w:val="00FC265A"/>
    <w:rsid w:val="00FC381C"/>
    <w:rsid w:val="00FC3942"/>
    <w:rsid w:val="00FC3BD4"/>
    <w:rsid w:val="00FC3F2D"/>
    <w:rsid w:val="00FC5352"/>
    <w:rsid w:val="00FC53D4"/>
    <w:rsid w:val="00FC6219"/>
    <w:rsid w:val="00FC7CCA"/>
    <w:rsid w:val="00FD073E"/>
    <w:rsid w:val="00FD093E"/>
    <w:rsid w:val="00FD2DB5"/>
    <w:rsid w:val="00FD4864"/>
    <w:rsid w:val="00FD5CB2"/>
    <w:rsid w:val="00FD6A2F"/>
    <w:rsid w:val="00FD6D4B"/>
    <w:rsid w:val="00FE17D7"/>
    <w:rsid w:val="00FE396B"/>
    <w:rsid w:val="00FE44EE"/>
    <w:rsid w:val="00FE5464"/>
    <w:rsid w:val="00FE5A3E"/>
    <w:rsid w:val="00FE654B"/>
    <w:rsid w:val="00FE6E12"/>
    <w:rsid w:val="00FE6ECB"/>
    <w:rsid w:val="00FF0A8B"/>
    <w:rsid w:val="00FF1E41"/>
    <w:rsid w:val="00FF4372"/>
    <w:rsid w:val="00FF4BB2"/>
    <w:rsid w:val="00FF59E7"/>
    <w:rsid w:val="00FF5F97"/>
    <w:rsid w:val="00FF7257"/>
    <w:rsid w:val="00FF752A"/>
    <w:rsid w:val="00FF7BD9"/>
    <w:rsid w:val="049623F8"/>
    <w:rsid w:val="05B95F1E"/>
    <w:rsid w:val="086E1568"/>
    <w:rsid w:val="09630209"/>
    <w:rsid w:val="0CEF3A66"/>
    <w:rsid w:val="0CF2711F"/>
    <w:rsid w:val="0D9C70D9"/>
    <w:rsid w:val="0DE7465B"/>
    <w:rsid w:val="0E5D31AA"/>
    <w:rsid w:val="0F3F7BC8"/>
    <w:rsid w:val="10185A7B"/>
    <w:rsid w:val="10B15434"/>
    <w:rsid w:val="12C50C1A"/>
    <w:rsid w:val="15774764"/>
    <w:rsid w:val="17F301A9"/>
    <w:rsid w:val="199A0A0E"/>
    <w:rsid w:val="19EF1374"/>
    <w:rsid w:val="1A95003E"/>
    <w:rsid w:val="1B813CE0"/>
    <w:rsid w:val="1B9D4516"/>
    <w:rsid w:val="200643E5"/>
    <w:rsid w:val="219E2716"/>
    <w:rsid w:val="22624C8B"/>
    <w:rsid w:val="28A02A1B"/>
    <w:rsid w:val="29C4257F"/>
    <w:rsid w:val="2D5C26B0"/>
    <w:rsid w:val="2F7A734E"/>
    <w:rsid w:val="33CE6340"/>
    <w:rsid w:val="35BD25C7"/>
    <w:rsid w:val="36576957"/>
    <w:rsid w:val="37672FB0"/>
    <w:rsid w:val="381C5B0D"/>
    <w:rsid w:val="3A891042"/>
    <w:rsid w:val="3A8F55CD"/>
    <w:rsid w:val="3B537E3D"/>
    <w:rsid w:val="40482E6A"/>
    <w:rsid w:val="463F2F6A"/>
    <w:rsid w:val="47C13C63"/>
    <w:rsid w:val="49DC0EBC"/>
    <w:rsid w:val="4C7A73E0"/>
    <w:rsid w:val="4DDB6F48"/>
    <w:rsid w:val="4DF0361D"/>
    <w:rsid w:val="4E9F73FB"/>
    <w:rsid w:val="5172570A"/>
    <w:rsid w:val="52C771B4"/>
    <w:rsid w:val="53980F62"/>
    <w:rsid w:val="54731278"/>
    <w:rsid w:val="54E86EE4"/>
    <w:rsid w:val="55AC4B21"/>
    <w:rsid w:val="56D402F0"/>
    <w:rsid w:val="56E9380E"/>
    <w:rsid w:val="57322C6A"/>
    <w:rsid w:val="577440B3"/>
    <w:rsid w:val="5AA727CA"/>
    <w:rsid w:val="5CF01AC2"/>
    <w:rsid w:val="5D2A34F6"/>
    <w:rsid w:val="5D4E5899"/>
    <w:rsid w:val="5EAF3AF3"/>
    <w:rsid w:val="60895EF6"/>
    <w:rsid w:val="612748DD"/>
    <w:rsid w:val="61E51EA2"/>
    <w:rsid w:val="63F60F25"/>
    <w:rsid w:val="65B37642"/>
    <w:rsid w:val="679612FA"/>
    <w:rsid w:val="68CE4C4D"/>
    <w:rsid w:val="69955344"/>
    <w:rsid w:val="6A794FEC"/>
    <w:rsid w:val="6B5A63A7"/>
    <w:rsid w:val="6B6507A9"/>
    <w:rsid w:val="6CB0467D"/>
    <w:rsid w:val="6F376AE5"/>
    <w:rsid w:val="6F581245"/>
    <w:rsid w:val="70A8632E"/>
    <w:rsid w:val="70E015B7"/>
    <w:rsid w:val="747B6D6D"/>
    <w:rsid w:val="75171DCD"/>
    <w:rsid w:val="78A2429F"/>
    <w:rsid w:val="7A7D47A3"/>
    <w:rsid w:val="7E3E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99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 w:locked="1"/>
    <w:lsdException w:uiPriority="0" w:name="List 2"/>
    <w:lsdException w:uiPriority="0" w:name="List 3"/>
    <w:lsdException w:unhideWhenUsed="0" w:uiPriority="0" w:semiHidden="0" w:name="List 4" w:locked="1"/>
    <w:lsdException w:unhideWhenUsed="0" w:uiPriority="0" w:semiHidden="0" w:name="List 5" w:locked="1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qFormat="1" w:unhideWhenUsed="0" w:uiPriority="0" w:semiHidden="0" w:name="Date"/>
    <w:lsdException w:unhideWhenUsed="0" w:uiPriority="0" w:semiHidden="0" w:name="Body Text First Indent" w:locked="1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qFormat/>
    <w:uiPriority w:val="0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/>
      <w:b/>
      <w:bCs/>
      <w:kern w:val="0"/>
      <w:sz w:val="36"/>
      <w:szCs w:val="36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spacing w:before="152" w:after="160" w:line="460" w:lineRule="exact"/>
    </w:pPr>
    <w:rPr>
      <w:rFonts w:ascii="Arial" w:hAnsi="Arial" w:eastAsia="黑体"/>
      <w:szCs w:val="20"/>
    </w:rPr>
  </w:style>
  <w:style w:type="paragraph" w:styleId="5">
    <w:name w:val="Document Map"/>
    <w:basedOn w:val="1"/>
    <w:link w:val="51"/>
    <w:semiHidden/>
    <w:qFormat/>
    <w:uiPriority w:val="0"/>
    <w:rPr>
      <w:rFonts w:ascii="宋体"/>
      <w:kern w:val="0"/>
      <w:sz w:val="18"/>
      <w:szCs w:val="18"/>
    </w:rPr>
  </w:style>
  <w:style w:type="paragraph" w:styleId="6">
    <w:name w:val="annotation text"/>
    <w:basedOn w:val="1"/>
    <w:link w:val="45"/>
    <w:qFormat/>
    <w:uiPriority w:val="99"/>
    <w:pPr>
      <w:spacing w:line="460" w:lineRule="exact"/>
      <w:jc w:val="left"/>
    </w:pPr>
    <w:rPr>
      <w:rFonts w:ascii="Calibri" w:hAnsi="Calibri"/>
      <w:szCs w:val="21"/>
    </w:rPr>
  </w:style>
  <w:style w:type="paragraph" w:styleId="7">
    <w:name w:val="Body Text"/>
    <w:basedOn w:val="1"/>
    <w:link w:val="49"/>
    <w:qFormat/>
    <w:uiPriority w:val="0"/>
    <w:pPr>
      <w:spacing w:line="380" w:lineRule="exact"/>
    </w:pPr>
    <w:rPr>
      <w:rFonts w:eastAsia="仿宋_GB2312"/>
      <w:sz w:val="28"/>
      <w:szCs w:val="20"/>
    </w:rPr>
  </w:style>
  <w:style w:type="paragraph" w:styleId="8">
    <w:name w:val="Body Text Indent"/>
    <w:basedOn w:val="1"/>
    <w:link w:val="38"/>
    <w:qFormat/>
    <w:uiPriority w:val="0"/>
    <w:pPr>
      <w:spacing w:line="460" w:lineRule="exact"/>
      <w:ind w:firstLine="630"/>
    </w:pPr>
    <w:rPr>
      <w:rFonts w:ascii="仿宋_GB2312" w:eastAsia="仿宋_GB2312"/>
      <w:sz w:val="32"/>
      <w:szCs w:val="20"/>
    </w:rPr>
  </w:style>
  <w:style w:type="paragraph" w:styleId="9">
    <w:name w:val="Plain Text"/>
    <w:basedOn w:val="1"/>
    <w:link w:val="44"/>
    <w:qFormat/>
    <w:uiPriority w:val="0"/>
    <w:pPr>
      <w:spacing w:line="460" w:lineRule="exact"/>
    </w:pPr>
    <w:rPr>
      <w:rFonts w:ascii="宋体" w:hAnsi="Courier New"/>
      <w:szCs w:val="20"/>
    </w:rPr>
  </w:style>
  <w:style w:type="paragraph" w:styleId="10">
    <w:name w:val="Date"/>
    <w:basedOn w:val="1"/>
    <w:next w:val="1"/>
    <w:link w:val="48"/>
    <w:qFormat/>
    <w:uiPriority w:val="0"/>
    <w:pPr>
      <w:ind w:left="100" w:leftChars="2500"/>
    </w:pPr>
    <w:rPr>
      <w:kern w:val="0"/>
      <w:sz w:val="24"/>
    </w:rPr>
  </w:style>
  <w:style w:type="paragraph" w:styleId="11">
    <w:name w:val="Body Text Indent 2"/>
    <w:basedOn w:val="1"/>
    <w:link w:val="42"/>
    <w:qFormat/>
    <w:uiPriority w:val="0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/>
      <w:kern w:val="0"/>
      <w:sz w:val="28"/>
      <w:szCs w:val="20"/>
    </w:rPr>
  </w:style>
  <w:style w:type="paragraph" w:styleId="12">
    <w:name w:val="Balloon Text"/>
    <w:basedOn w:val="1"/>
    <w:link w:val="53"/>
    <w:semiHidden/>
    <w:qFormat/>
    <w:uiPriority w:val="0"/>
    <w:rPr>
      <w:kern w:val="0"/>
      <w:sz w:val="18"/>
      <w:szCs w:val="18"/>
    </w:rPr>
  </w:style>
  <w:style w:type="paragraph" w:styleId="13">
    <w:name w:val="footer"/>
    <w:basedOn w:val="1"/>
    <w:link w:val="5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4">
    <w:name w:val="header"/>
    <w:basedOn w:val="1"/>
    <w:link w:val="4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5">
    <w:name w:val="Body Text Indent 3"/>
    <w:basedOn w:val="1"/>
    <w:link w:val="40"/>
    <w:qFormat/>
    <w:uiPriority w:val="0"/>
    <w:pPr>
      <w:adjustRightInd w:val="0"/>
      <w:snapToGrid w:val="0"/>
      <w:spacing w:line="360" w:lineRule="auto"/>
      <w:ind w:left="75" w:firstLine="345"/>
      <w:outlineLvl w:val="0"/>
    </w:pPr>
    <w:rPr>
      <w:rFonts w:ascii="宋体"/>
      <w:kern w:val="0"/>
      <w:szCs w:val="21"/>
    </w:rPr>
  </w:style>
  <w:style w:type="paragraph" w:styleId="16">
    <w:name w:val="Normal (Web)"/>
    <w:basedOn w:val="1"/>
    <w:qFormat/>
    <w:uiPriority w:val="99"/>
    <w:pPr>
      <w:widowControl/>
      <w:spacing w:before="100" w:beforeAutospacing="1" w:after="100" w:afterAutospacing="1" w:line="460" w:lineRule="exact"/>
      <w:jc w:val="left"/>
    </w:pPr>
    <w:rPr>
      <w:rFonts w:ascii="宋体" w:hAnsi="宋体"/>
      <w:kern w:val="0"/>
      <w:sz w:val="24"/>
    </w:rPr>
  </w:style>
  <w:style w:type="paragraph" w:styleId="17">
    <w:name w:val="annotation subject"/>
    <w:basedOn w:val="6"/>
    <w:next w:val="6"/>
    <w:link w:val="52"/>
    <w:semiHidden/>
    <w:qFormat/>
    <w:uiPriority w:val="0"/>
    <w:rPr>
      <w:b/>
      <w:bCs/>
    </w:rPr>
  </w:style>
  <w:style w:type="table" w:styleId="19">
    <w:name w:val="Table Grid"/>
    <w:basedOn w:val="1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locked/>
    <w:uiPriority w:val="22"/>
    <w:rPr>
      <w:b/>
      <w:bCs/>
    </w:rPr>
  </w:style>
  <w:style w:type="character" w:styleId="22">
    <w:name w:val="page number"/>
    <w:qFormat/>
    <w:uiPriority w:val="0"/>
    <w:rPr>
      <w:rFonts w:cs="Times New Roman"/>
    </w:rPr>
  </w:style>
  <w:style w:type="character" w:styleId="23">
    <w:name w:val="FollowedHyperlink"/>
    <w:qFormat/>
    <w:uiPriority w:val="0"/>
    <w:rPr>
      <w:rFonts w:cs="Times New Roman"/>
      <w:color w:val="800080"/>
      <w:u w:val="single"/>
    </w:rPr>
  </w:style>
  <w:style w:type="character" w:styleId="24">
    <w:name w:val="Hyperlink"/>
    <w:qFormat/>
    <w:uiPriority w:val="0"/>
    <w:rPr>
      <w:rFonts w:cs="Times New Roman"/>
      <w:color w:val="1B227E"/>
      <w:u w:val="none"/>
    </w:rPr>
  </w:style>
  <w:style w:type="character" w:styleId="25">
    <w:name w:val="annotation reference"/>
    <w:semiHidden/>
    <w:qFormat/>
    <w:uiPriority w:val="99"/>
    <w:rPr>
      <w:rFonts w:cs="Times New Roman"/>
      <w:sz w:val="21"/>
      <w:szCs w:val="21"/>
    </w:rPr>
  </w:style>
  <w:style w:type="character" w:styleId="26">
    <w:name w:val="footnote reference"/>
    <w:semiHidden/>
    <w:qFormat/>
    <w:uiPriority w:val="0"/>
    <w:rPr>
      <w:rFonts w:cs="Times New Roman"/>
      <w:vertAlign w:val="superscript"/>
    </w:rPr>
  </w:style>
  <w:style w:type="paragraph" w:customStyle="1" w:styleId="27">
    <w:name w:val="大标题"/>
    <w:basedOn w:val="1"/>
    <w:qFormat/>
    <w:uiPriority w:val="0"/>
    <w:pPr>
      <w:adjustRightInd w:val="0"/>
      <w:spacing w:before="2840" w:line="320" w:lineRule="atLeast"/>
      <w:jc w:val="center"/>
      <w:textAlignment w:val="bottom"/>
    </w:pPr>
    <w:rPr>
      <w:rFonts w:eastAsia="文鼎大标宋简"/>
      <w:kern w:val="0"/>
      <w:sz w:val="36"/>
      <w:szCs w:val="20"/>
    </w:rPr>
  </w:style>
  <w:style w:type="paragraph" w:customStyle="1" w:styleId="28">
    <w:name w:val="ordinary-output"/>
    <w:basedOn w:val="1"/>
    <w:qFormat/>
    <w:uiPriority w:val="0"/>
    <w:pPr>
      <w:widowControl/>
      <w:spacing w:before="100" w:beforeAutospacing="1" w:after="75" w:line="330" w:lineRule="atLeast"/>
      <w:jc w:val="left"/>
    </w:pPr>
    <w:rPr>
      <w:rFonts w:ascii="宋体" w:hAnsi="宋体" w:cs="宋体"/>
      <w:color w:val="333333"/>
      <w:kern w:val="0"/>
      <w:sz w:val="27"/>
      <w:szCs w:val="27"/>
    </w:rPr>
  </w:style>
  <w:style w:type="paragraph" w:customStyle="1" w:styleId="29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">
    <w:name w:val="reader-word-layer reader-word-s19-13"/>
    <w:basedOn w:val="1"/>
    <w:qFormat/>
    <w:uiPriority w:val="0"/>
    <w:pPr>
      <w:widowControl/>
      <w:spacing w:before="100" w:beforeAutospacing="1" w:after="100" w:afterAutospacing="1" w:line="460" w:lineRule="exact"/>
      <w:jc w:val="left"/>
    </w:pPr>
    <w:rPr>
      <w:rFonts w:ascii="宋体" w:hAnsi="宋体" w:cs="宋体"/>
      <w:kern w:val="0"/>
      <w:sz w:val="24"/>
    </w:rPr>
  </w:style>
  <w:style w:type="paragraph" w:customStyle="1" w:styleId="31">
    <w:name w:val="reader-word-layer reader-word-s19-5"/>
    <w:basedOn w:val="1"/>
    <w:qFormat/>
    <w:uiPriority w:val="0"/>
    <w:pPr>
      <w:widowControl/>
      <w:spacing w:before="100" w:beforeAutospacing="1" w:after="100" w:afterAutospacing="1" w:line="460" w:lineRule="exact"/>
      <w:jc w:val="left"/>
    </w:pPr>
    <w:rPr>
      <w:rFonts w:ascii="宋体" w:hAnsi="宋体" w:cs="宋体"/>
      <w:kern w:val="0"/>
      <w:sz w:val="24"/>
    </w:rPr>
  </w:style>
  <w:style w:type="paragraph" w:customStyle="1" w:styleId="32">
    <w:name w:val="修订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函号"/>
    <w:basedOn w:val="1"/>
    <w:qFormat/>
    <w:uiPriority w:val="0"/>
    <w:pPr>
      <w:adjustRightInd w:val="0"/>
      <w:spacing w:line="440" w:lineRule="atLeast"/>
      <w:jc w:val="right"/>
      <w:textAlignment w:val="bottom"/>
    </w:pPr>
    <w:rPr>
      <w:rFonts w:eastAsia="仿宋_GB2312"/>
      <w:kern w:val="0"/>
      <w:sz w:val="28"/>
      <w:szCs w:val="20"/>
    </w:rPr>
  </w:style>
  <w:style w:type="paragraph" w:customStyle="1" w:styleId="34">
    <w:name w:val="列出段落1"/>
    <w:basedOn w:val="1"/>
    <w:qFormat/>
    <w:uiPriority w:val="0"/>
    <w:pPr>
      <w:ind w:firstLine="420" w:firstLineChars="200"/>
    </w:pPr>
  </w:style>
  <w:style w:type="paragraph" w:customStyle="1" w:styleId="35">
    <w:name w:val="文号"/>
    <w:basedOn w:val="1"/>
    <w:qFormat/>
    <w:uiPriority w:val="0"/>
    <w:pPr>
      <w:adjustRightInd w:val="0"/>
      <w:spacing w:before="2550" w:line="360" w:lineRule="atLeast"/>
      <w:jc w:val="center"/>
      <w:textAlignment w:val="baseline"/>
    </w:pPr>
    <w:rPr>
      <w:rFonts w:eastAsia="仿宋_GB2312"/>
      <w:kern w:val="0"/>
      <w:sz w:val="28"/>
      <w:szCs w:val="20"/>
    </w:rPr>
  </w:style>
  <w:style w:type="paragraph" w:customStyle="1" w:styleId="36">
    <w:name w:val="主题词"/>
    <w:basedOn w:val="1"/>
    <w:qFormat/>
    <w:uiPriority w:val="0"/>
    <w:pPr>
      <w:adjustRightInd w:val="0"/>
      <w:spacing w:line="440" w:lineRule="atLeast"/>
      <w:jc w:val="left"/>
      <w:textAlignment w:val="bottom"/>
    </w:pPr>
    <w:rPr>
      <w:rFonts w:eastAsia="黑体"/>
      <w:kern w:val="0"/>
      <w:sz w:val="28"/>
      <w:szCs w:val="20"/>
    </w:rPr>
  </w:style>
  <w:style w:type="character" w:customStyle="1" w:styleId="37">
    <w:name w:val="标题 1 字符"/>
    <w:link w:val="2"/>
    <w:qFormat/>
    <w:locked/>
    <w:uiPriority w:val="0"/>
    <w:rPr>
      <w:rFonts w:cs="Times New Roman"/>
      <w:b/>
      <w:bCs/>
      <w:kern w:val="44"/>
      <w:sz w:val="44"/>
      <w:szCs w:val="44"/>
    </w:rPr>
  </w:style>
  <w:style w:type="character" w:customStyle="1" w:styleId="38">
    <w:name w:val="正文文本缩进 字符"/>
    <w:link w:val="8"/>
    <w:qFormat/>
    <w:locked/>
    <w:uiPriority w:val="0"/>
    <w:rPr>
      <w:rFonts w:ascii="仿宋_GB2312" w:eastAsia="仿宋_GB2312" w:cs="Times New Roman"/>
      <w:kern w:val="2"/>
      <w:sz w:val="32"/>
    </w:rPr>
  </w:style>
  <w:style w:type="character" w:customStyle="1" w:styleId="39">
    <w:name w:val="标题 2 字符"/>
    <w:link w:val="3"/>
    <w:qFormat/>
    <w:locked/>
    <w:uiPriority w:val="0"/>
    <w:rPr>
      <w:rFonts w:ascii="宋体" w:eastAsia="宋体" w:cs="Times New Roman"/>
      <w:b/>
      <w:bCs/>
      <w:sz w:val="36"/>
      <w:szCs w:val="36"/>
    </w:rPr>
  </w:style>
  <w:style w:type="character" w:customStyle="1" w:styleId="40">
    <w:name w:val="正文文本缩进 3 字符"/>
    <w:link w:val="15"/>
    <w:qFormat/>
    <w:locked/>
    <w:uiPriority w:val="0"/>
    <w:rPr>
      <w:rFonts w:ascii="宋体" w:eastAsia="宋体" w:cs="Times New Roman"/>
      <w:sz w:val="21"/>
      <w:szCs w:val="21"/>
    </w:rPr>
  </w:style>
  <w:style w:type="character" w:customStyle="1" w:styleId="41">
    <w:name w:val="edited2"/>
    <w:qFormat/>
    <w:uiPriority w:val="0"/>
    <w:rPr>
      <w:rFonts w:cs="Times New Roman"/>
    </w:rPr>
  </w:style>
  <w:style w:type="character" w:customStyle="1" w:styleId="42">
    <w:name w:val="正文文本缩进 2 字符"/>
    <w:link w:val="11"/>
    <w:qFormat/>
    <w:locked/>
    <w:uiPriority w:val="0"/>
    <w:rPr>
      <w:rFonts w:ascii="仿宋_GB2312" w:eastAsia="仿宋_GB2312" w:cs="Times New Roman"/>
      <w:sz w:val="28"/>
    </w:rPr>
  </w:style>
  <w:style w:type="character" w:customStyle="1" w:styleId="43">
    <w:name w:val="high-light-bg4"/>
    <w:qFormat/>
    <w:uiPriority w:val="0"/>
    <w:rPr>
      <w:rFonts w:cs="Times New Roman"/>
    </w:rPr>
  </w:style>
  <w:style w:type="character" w:customStyle="1" w:styleId="44">
    <w:name w:val="纯文本 字符"/>
    <w:link w:val="9"/>
    <w:qFormat/>
    <w:locked/>
    <w:uiPriority w:val="0"/>
    <w:rPr>
      <w:rFonts w:ascii="宋体" w:hAnsi="Courier New" w:cs="Times New Roman"/>
      <w:kern w:val="2"/>
      <w:sz w:val="21"/>
    </w:rPr>
  </w:style>
  <w:style w:type="character" w:customStyle="1" w:styleId="45">
    <w:name w:val="批注文字 字符"/>
    <w:link w:val="6"/>
    <w:qFormat/>
    <w:locked/>
    <w:uiPriority w:val="99"/>
    <w:rPr>
      <w:rFonts w:ascii="Calibri" w:hAnsi="Calibri" w:cs="Calibri"/>
      <w:kern w:val="2"/>
      <w:sz w:val="21"/>
      <w:szCs w:val="21"/>
    </w:rPr>
  </w:style>
  <w:style w:type="character" w:customStyle="1" w:styleId="46">
    <w:name w:val="unnamed2"/>
    <w:qFormat/>
    <w:uiPriority w:val="0"/>
    <w:rPr>
      <w:rFonts w:cs="Times New Roman"/>
    </w:rPr>
  </w:style>
  <w:style w:type="character" w:customStyle="1" w:styleId="47">
    <w:name w:val="页眉 字符"/>
    <w:link w:val="14"/>
    <w:qFormat/>
    <w:locked/>
    <w:uiPriority w:val="0"/>
    <w:rPr>
      <w:rFonts w:cs="Times New Roman"/>
      <w:sz w:val="18"/>
      <w:szCs w:val="18"/>
    </w:rPr>
  </w:style>
  <w:style w:type="character" w:customStyle="1" w:styleId="48">
    <w:name w:val="日期 字符"/>
    <w:link w:val="10"/>
    <w:qFormat/>
    <w:locked/>
    <w:uiPriority w:val="0"/>
    <w:rPr>
      <w:rFonts w:cs="Times New Roman"/>
      <w:sz w:val="24"/>
      <w:szCs w:val="24"/>
    </w:rPr>
  </w:style>
  <w:style w:type="character" w:customStyle="1" w:styleId="49">
    <w:name w:val="正文文本 字符"/>
    <w:link w:val="7"/>
    <w:qFormat/>
    <w:locked/>
    <w:uiPriority w:val="0"/>
    <w:rPr>
      <w:rFonts w:eastAsia="仿宋_GB2312" w:cs="Times New Roman"/>
      <w:kern w:val="2"/>
      <w:sz w:val="28"/>
    </w:rPr>
  </w:style>
  <w:style w:type="character" w:customStyle="1" w:styleId="50">
    <w:name w:val="页脚 字符"/>
    <w:link w:val="13"/>
    <w:qFormat/>
    <w:locked/>
    <w:uiPriority w:val="99"/>
    <w:rPr>
      <w:rFonts w:cs="Times New Roman"/>
      <w:sz w:val="18"/>
      <w:szCs w:val="18"/>
    </w:rPr>
  </w:style>
  <w:style w:type="character" w:customStyle="1" w:styleId="51">
    <w:name w:val="文档结构图 字符"/>
    <w:link w:val="5"/>
    <w:qFormat/>
    <w:locked/>
    <w:uiPriority w:val="0"/>
    <w:rPr>
      <w:rFonts w:ascii="宋体" w:cs="Times New Roman"/>
      <w:sz w:val="18"/>
      <w:szCs w:val="18"/>
    </w:rPr>
  </w:style>
  <w:style w:type="character" w:customStyle="1" w:styleId="52">
    <w:name w:val="批注主题 字符"/>
    <w:link w:val="17"/>
    <w:semiHidden/>
    <w:qFormat/>
    <w:locked/>
    <w:uiPriority w:val="0"/>
    <w:rPr>
      <w:rFonts w:ascii="Calibri" w:hAnsi="Calibri" w:cs="Calibri"/>
      <w:b/>
      <w:bCs/>
      <w:kern w:val="2"/>
      <w:sz w:val="21"/>
      <w:szCs w:val="21"/>
    </w:rPr>
  </w:style>
  <w:style w:type="character" w:customStyle="1" w:styleId="53">
    <w:name w:val="批注框文本 字符"/>
    <w:link w:val="12"/>
    <w:qFormat/>
    <w:locked/>
    <w:uiPriority w:val="0"/>
    <w:rPr>
      <w:rFonts w:cs="Times New Roman"/>
      <w:sz w:val="18"/>
      <w:szCs w:val="18"/>
    </w:rPr>
  </w:style>
  <w:style w:type="paragraph" w:customStyle="1" w:styleId="54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5">
    <w:name w:val="列出段落2"/>
    <w:basedOn w:val="1"/>
    <w:qFormat/>
    <w:uiPriority w:val="0"/>
    <w:pPr>
      <w:ind w:firstLine="420" w:firstLineChars="200"/>
    </w:pPr>
    <w:rPr>
      <w:rFonts w:ascii="等线" w:hAnsi="等线" w:eastAsia="等线"/>
      <w:szCs w:val="21"/>
    </w:rPr>
  </w:style>
  <w:style w:type="paragraph" w:styleId="5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57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">
    <w:name w:val="修订4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9">
    <w:name w:val="修订5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0">
    <w:name w:val="修订6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1">
    <w:name w:val="修订7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sdu</Company>
  <Pages>7</Pages>
  <Words>5093</Words>
  <Characters>5485</Characters>
  <Lines>41</Lines>
  <Paragraphs>11</Paragraphs>
  <TotalTime>74</TotalTime>
  <ScaleCrop>false</ScaleCrop>
  <LinksUpToDate>false</LinksUpToDate>
  <CharactersWithSpaces>5486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2022-04-23T13:07:00Z</dcterms:created>
  <dc:creator>LIU</dc:creator>
  <cp:lastModifiedBy>Immortal桑梓</cp:lastModifiedBy>
  <cp:lastPrinted>2022-04-24T00:19:00Z</cp:lastPrinted>
  <dcterms:modified xsi:type="dcterms:W3CDTF">2023-04-10T06:34:18Z</dcterms:modified>
  <dc:title>*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B43CED5EFB7D4D299995FE7045CB6B43</vt:lpwstr>
  </property>
</Properties>
</file>